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212E" w14:textId="77777777" w:rsidR="005D7F64" w:rsidRDefault="005D7F64">
      <w:pPr>
        <w:pStyle w:val="BodyText"/>
        <w:kinsoku w:val="0"/>
        <w:overflowPunct w:val="0"/>
        <w:spacing w:before="0"/>
        <w:ind w:left="0"/>
        <w:jc w:val="left"/>
        <w:rPr>
          <w:sz w:val="30"/>
          <w:szCs w:val="30"/>
        </w:rPr>
      </w:pPr>
    </w:p>
    <w:p w14:paraId="5BD6BDF2" w14:textId="423D1D79" w:rsidR="005D7F64" w:rsidRDefault="005D7F64">
      <w:pPr>
        <w:pStyle w:val="BodyText"/>
        <w:kinsoku w:val="0"/>
        <w:overflowPunct w:val="0"/>
        <w:spacing w:before="0"/>
        <w:jc w:val="left"/>
        <w:rPr>
          <w:sz w:val="20"/>
          <w:szCs w:val="20"/>
        </w:rPr>
      </w:pPr>
      <w:r>
        <w:rPr>
          <w:sz w:val="20"/>
          <w:szCs w:val="20"/>
        </w:rPr>
        <w:t xml:space="preserve">Revision Date: </w:t>
      </w:r>
      <w:r w:rsidR="006B610F">
        <w:rPr>
          <w:sz w:val="20"/>
          <w:szCs w:val="20"/>
        </w:rPr>
        <w:t>February 8, 2023</w:t>
      </w:r>
    </w:p>
    <w:p w14:paraId="5841DDC1" w14:textId="77777777" w:rsidR="005D7F64" w:rsidRDefault="005D7F64" w:rsidP="00511937">
      <w:pPr>
        <w:pStyle w:val="Heading1"/>
        <w:kinsoku w:val="0"/>
        <w:overflowPunct w:val="0"/>
        <w:spacing w:before="92"/>
        <w:jc w:val="center"/>
      </w:pPr>
      <w:r>
        <w:t>DNAnexus Data Processing Addendum</w:t>
      </w:r>
    </w:p>
    <w:p w14:paraId="71E52414" w14:textId="77777777" w:rsidR="005D7F64" w:rsidRDefault="005D7F64">
      <w:pPr>
        <w:pStyle w:val="BodyText"/>
        <w:kinsoku w:val="0"/>
        <w:overflowPunct w:val="0"/>
        <w:spacing w:before="0"/>
        <w:ind w:left="0"/>
        <w:jc w:val="left"/>
        <w:rPr>
          <w:b/>
          <w:bCs/>
          <w:sz w:val="12"/>
          <w:szCs w:val="12"/>
        </w:rPr>
      </w:pPr>
    </w:p>
    <w:p w14:paraId="7EA613D7" w14:textId="17A6CFAD" w:rsidR="005D7F64" w:rsidRDefault="005D7F64">
      <w:pPr>
        <w:pStyle w:val="BodyText"/>
        <w:kinsoku w:val="0"/>
        <w:overflowPunct w:val="0"/>
        <w:spacing w:before="92"/>
        <w:ind w:right="102"/>
      </w:pPr>
      <w:r>
        <w:t>This</w:t>
      </w:r>
      <w:r>
        <w:rPr>
          <w:spacing w:val="-3"/>
        </w:rPr>
        <w:t xml:space="preserve"> </w:t>
      </w:r>
      <w:r>
        <w:t>Data</w:t>
      </w:r>
      <w:r>
        <w:rPr>
          <w:spacing w:val="-3"/>
        </w:rPr>
        <w:t xml:space="preserve"> </w:t>
      </w:r>
      <w:r>
        <w:t>Processing</w:t>
      </w:r>
      <w:r>
        <w:rPr>
          <w:spacing w:val="-6"/>
        </w:rPr>
        <w:t xml:space="preserve"> </w:t>
      </w:r>
      <w:r>
        <w:t>Addendum</w:t>
      </w:r>
      <w:r>
        <w:rPr>
          <w:spacing w:val="-6"/>
        </w:rPr>
        <w:t xml:space="preserve"> </w:t>
      </w:r>
      <w:r>
        <w:t>(“</w:t>
      </w:r>
      <w:r>
        <w:rPr>
          <w:b/>
          <w:bCs/>
        </w:rPr>
        <w:t>DPA</w:t>
      </w:r>
      <w:r>
        <w:t>”)</w:t>
      </w:r>
      <w:r>
        <w:rPr>
          <w:spacing w:val="-3"/>
        </w:rPr>
        <w:t xml:space="preserve"> </w:t>
      </w:r>
      <w:r>
        <w:t>and</w:t>
      </w:r>
      <w:r>
        <w:rPr>
          <w:spacing w:val="-4"/>
        </w:rPr>
        <w:t xml:space="preserve"> </w:t>
      </w:r>
      <w:r>
        <w:t>its</w:t>
      </w:r>
      <w:r>
        <w:rPr>
          <w:spacing w:val="-3"/>
        </w:rPr>
        <w:t xml:space="preserve"> </w:t>
      </w:r>
      <w:r>
        <w:t>applicable</w:t>
      </w:r>
      <w:r>
        <w:rPr>
          <w:spacing w:val="-2"/>
        </w:rPr>
        <w:t xml:space="preserve"> </w:t>
      </w:r>
      <w:r>
        <w:t>DPA</w:t>
      </w:r>
      <w:r>
        <w:rPr>
          <w:spacing w:val="-5"/>
        </w:rPr>
        <w:t xml:space="preserve"> </w:t>
      </w:r>
      <w:r>
        <w:t>Exhibits</w:t>
      </w:r>
      <w:r>
        <w:rPr>
          <w:spacing w:val="-3"/>
        </w:rPr>
        <w:t xml:space="preserve"> </w:t>
      </w:r>
      <w:r>
        <w:t>apply</w:t>
      </w:r>
      <w:r>
        <w:rPr>
          <w:spacing w:val="-6"/>
        </w:rPr>
        <w:t xml:space="preserve"> </w:t>
      </w:r>
      <w:r>
        <w:t>to</w:t>
      </w:r>
      <w:r>
        <w:rPr>
          <w:spacing w:val="-3"/>
        </w:rPr>
        <w:t xml:space="preserve"> </w:t>
      </w:r>
      <w:r>
        <w:t>the</w:t>
      </w:r>
      <w:r>
        <w:rPr>
          <w:spacing w:val="-3"/>
        </w:rPr>
        <w:t xml:space="preserve"> </w:t>
      </w:r>
      <w:r>
        <w:t>Processing</w:t>
      </w:r>
      <w:r>
        <w:rPr>
          <w:spacing w:val="-6"/>
        </w:rPr>
        <w:t xml:space="preserve"> </w:t>
      </w:r>
      <w:r>
        <w:t>of</w:t>
      </w:r>
      <w:r>
        <w:rPr>
          <w:spacing w:val="-3"/>
        </w:rPr>
        <w:t xml:space="preserve"> </w:t>
      </w:r>
      <w:r>
        <w:t>Personal</w:t>
      </w:r>
      <w:r>
        <w:rPr>
          <w:spacing w:val="-2"/>
        </w:rPr>
        <w:t xml:space="preserve"> </w:t>
      </w:r>
      <w:r>
        <w:t>Data by DNAnexus on behalf of the Customer (“</w:t>
      </w:r>
      <w:r>
        <w:rPr>
          <w:b/>
          <w:bCs/>
        </w:rPr>
        <w:t>Customer Personal Data</w:t>
      </w:r>
      <w:r>
        <w:t xml:space="preserve">”) </w:t>
      </w:r>
      <w:r w:rsidR="008D749D">
        <w:t xml:space="preserve">together with all Customer Affiliates </w:t>
      </w:r>
      <w:r>
        <w:t>in order to provide DNAnexus Platform Services and other professional services (“</w:t>
      </w:r>
      <w:r>
        <w:rPr>
          <w:b/>
          <w:bCs/>
        </w:rPr>
        <w:t>Services</w:t>
      </w:r>
      <w:r>
        <w:t>”) described in the Master Subscription Agreement (“</w:t>
      </w:r>
      <w:r>
        <w:rPr>
          <w:b/>
          <w:bCs/>
        </w:rPr>
        <w:t>Agreement</w:t>
      </w:r>
      <w:r>
        <w:t xml:space="preserve">”), solely to the extent that the Processing of Customer Personal Data is subject to the </w:t>
      </w:r>
      <w:r w:rsidR="008D749D">
        <w:t>Data Protection Laws</w:t>
      </w:r>
      <w:r>
        <w:t xml:space="preserve"> (defined below).</w:t>
      </w:r>
      <w:r>
        <w:rPr>
          <w:spacing w:val="-5"/>
        </w:rPr>
        <w:t xml:space="preserve"> </w:t>
      </w:r>
      <w:r>
        <w:t>This</w:t>
      </w:r>
      <w:r>
        <w:rPr>
          <w:spacing w:val="-3"/>
        </w:rPr>
        <w:t xml:space="preserve"> </w:t>
      </w:r>
      <w:r>
        <w:t>DPA</w:t>
      </w:r>
      <w:r>
        <w:rPr>
          <w:spacing w:val="-5"/>
        </w:rPr>
        <w:t xml:space="preserve"> </w:t>
      </w:r>
      <w:r>
        <w:t>forms</w:t>
      </w:r>
      <w:r>
        <w:rPr>
          <w:spacing w:val="-3"/>
        </w:rPr>
        <w:t xml:space="preserve"> </w:t>
      </w:r>
      <w:r>
        <w:t>part</w:t>
      </w:r>
      <w:r>
        <w:rPr>
          <w:spacing w:val="-3"/>
        </w:rPr>
        <w:t xml:space="preserve"> </w:t>
      </w:r>
      <w:r>
        <w:t>of</w:t>
      </w:r>
      <w:r>
        <w:rPr>
          <w:spacing w:val="-3"/>
        </w:rPr>
        <w:t xml:space="preserve"> </w:t>
      </w:r>
      <w:r>
        <w:t>and</w:t>
      </w:r>
      <w:r>
        <w:rPr>
          <w:spacing w:val="-4"/>
        </w:rPr>
        <w:t xml:space="preserve"> </w:t>
      </w:r>
      <w:r>
        <w:t>is</w:t>
      </w:r>
      <w:r>
        <w:rPr>
          <w:spacing w:val="-4"/>
        </w:rPr>
        <w:t xml:space="preserve"> </w:t>
      </w:r>
      <w:r>
        <w:t>subject</w:t>
      </w:r>
      <w:r>
        <w:rPr>
          <w:spacing w:val="-5"/>
        </w:rPr>
        <w:t xml:space="preserve"> </w:t>
      </w:r>
      <w:r>
        <w:t>to</w:t>
      </w:r>
      <w:r>
        <w:rPr>
          <w:spacing w:val="-4"/>
        </w:rPr>
        <w:t xml:space="preserve"> </w:t>
      </w:r>
      <w:r>
        <w:t>the</w:t>
      </w:r>
      <w:r>
        <w:rPr>
          <w:spacing w:val="-2"/>
        </w:rPr>
        <w:t xml:space="preserve"> </w:t>
      </w:r>
      <w:r>
        <w:t>terms</w:t>
      </w:r>
      <w:r>
        <w:rPr>
          <w:spacing w:val="-3"/>
        </w:rPr>
        <w:t xml:space="preserve"> </w:t>
      </w:r>
      <w:r>
        <w:t>of</w:t>
      </w:r>
      <w:r>
        <w:rPr>
          <w:spacing w:val="-3"/>
        </w:rPr>
        <w:t xml:space="preserve"> </w:t>
      </w:r>
      <w:r>
        <w:t>the</w:t>
      </w:r>
      <w:r>
        <w:rPr>
          <w:spacing w:val="-3"/>
        </w:rPr>
        <w:t xml:space="preserve"> </w:t>
      </w:r>
      <w:r>
        <w:t xml:space="preserve">Agreement. In the event of conflict, the DPA Exhibit prevails over the DPA which prevails over the Agreement except where explicitly set out in the Agreement identifying the relevant Section of the DPA over which </w:t>
      </w:r>
      <w:proofErr w:type="gramStart"/>
      <w:r>
        <w:t>it</w:t>
      </w:r>
      <w:r>
        <w:rPr>
          <w:spacing w:val="-38"/>
        </w:rPr>
        <w:t xml:space="preserve"> </w:t>
      </w:r>
      <w:r w:rsidR="00752E7D">
        <w:rPr>
          <w:spacing w:val="-38"/>
        </w:rPr>
        <w:t xml:space="preserve"> </w:t>
      </w:r>
      <w:r>
        <w:t>prevails</w:t>
      </w:r>
      <w:proofErr w:type="gramEnd"/>
      <w:r>
        <w:t>.</w:t>
      </w:r>
      <w:r w:rsidR="00633592">
        <w:t xml:space="preserve">  In the event of any conflict between the terms of </w:t>
      </w:r>
      <w:r w:rsidR="00F84E49">
        <w:t xml:space="preserve">the SCCs and </w:t>
      </w:r>
      <w:r w:rsidR="00633592">
        <w:t xml:space="preserve">this DPA (including any exhibits), the </w:t>
      </w:r>
      <w:r w:rsidR="00025FC1">
        <w:t>Agreement, or any other document</w:t>
      </w:r>
      <w:r w:rsidR="007F0752">
        <w:t>, the SCCs shall prevail</w:t>
      </w:r>
      <w:r w:rsidR="00877236">
        <w:t xml:space="preserve"> </w:t>
      </w:r>
      <w:r w:rsidR="00712A0F">
        <w:t>to the extent</w:t>
      </w:r>
      <w:r w:rsidR="00877236">
        <w:t xml:space="preserve"> that applicable Data Protection Laws so require</w:t>
      </w:r>
      <w:r w:rsidR="007F0752">
        <w:t>.</w:t>
      </w:r>
    </w:p>
    <w:p w14:paraId="4454139E" w14:textId="77777777" w:rsidR="008B08B7" w:rsidRDefault="00814D54" w:rsidP="00F1432D">
      <w:pPr>
        <w:pStyle w:val="Heading1"/>
        <w:numPr>
          <w:ilvl w:val="0"/>
          <w:numId w:val="1"/>
        </w:numPr>
        <w:tabs>
          <w:tab w:val="left" w:pos="829"/>
        </w:tabs>
        <w:kinsoku w:val="0"/>
        <w:overflowPunct w:val="0"/>
        <w:spacing w:before="193"/>
        <w:ind w:hanging="738"/>
        <w:jc w:val="both"/>
      </w:pPr>
      <w:r>
        <w:t>DEFINITIONS</w:t>
      </w:r>
    </w:p>
    <w:p w14:paraId="68817F9E" w14:textId="07C7A6C8" w:rsidR="008B08B7" w:rsidRPr="00F1432D" w:rsidRDefault="008B08B7" w:rsidP="00A97CCB">
      <w:pPr>
        <w:ind w:left="90"/>
        <w:jc w:val="both"/>
      </w:pPr>
      <w:r>
        <w:t xml:space="preserve">Unless otherwise defined in the applicable Data Protection Law, the following terms shall have the definitions set out below. </w:t>
      </w:r>
      <w:r w:rsidR="00261A30">
        <w:t>If the following terms are defined in the applicable Data Protection Law</w:t>
      </w:r>
      <w:r w:rsidR="005A08F7">
        <w:t xml:space="preserve"> (</w:t>
      </w:r>
      <w:proofErr w:type="gramStart"/>
      <w:r w:rsidR="005A08F7">
        <w:t>e.g.</w:t>
      </w:r>
      <w:proofErr w:type="gramEnd"/>
      <w:r w:rsidR="005A08F7">
        <w:t xml:space="preserve"> GDPR)</w:t>
      </w:r>
      <w:r w:rsidR="00261A30">
        <w:t>, the definition given to them under such Data Protection Law shall apply.</w:t>
      </w:r>
      <w:r w:rsidR="00920BD2">
        <w:t xml:space="preserve">  </w:t>
      </w:r>
      <w:r w:rsidR="00B725FB">
        <w:t>Capitalized</w:t>
      </w:r>
      <w:r w:rsidR="00920BD2">
        <w:t xml:space="preserve"> terms</w:t>
      </w:r>
      <w:r w:rsidR="00920BD2">
        <w:rPr>
          <w:spacing w:val="-4"/>
        </w:rPr>
        <w:t xml:space="preserve"> </w:t>
      </w:r>
      <w:r w:rsidR="00920BD2">
        <w:t>used</w:t>
      </w:r>
      <w:r w:rsidR="00920BD2">
        <w:rPr>
          <w:spacing w:val="-4"/>
        </w:rPr>
        <w:t xml:space="preserve"> </w:t>
      </w:r>
      <w:r w:rsidR="00920BD2">
        <w:t>and</w:t>
      </w:r>
      <w:r w:rsidR="00920BD2">
        <w:rPr>
          <w:spacing w:val="-4"/>
        </w:rPr>
        <w:t xml:space="preserve"> </w:t>
      </w:r>
      <w:r w:rsidR="00920BD2">
        <w:t>not</w:t>
      </w:r>
      <w:r w:rsidR="00920BD2">
        <w:rPr>
          <w:spacing w:val="-5"/>
        </w:rPr>
        <w:t xml:space="preserve"> </w:t>
      </w:r>
      <w:r w:rsidR="00920BD2">
        <w:t>defined</w:t>
      </w:r>
      <w:r w:rsidR="00920BD2">
        <w:rPr>
          <w:spacing w:val="-4"/>
        </w:rPr>
        <w:t xml:space="preserve"> </w:t>
      </w:r>
      <w:r w:rsidR="00920BD2">
        <w:t>herein</w:t>
      </w:r>
      <w:r w:rsidR="00920BD2">
        <w:rPr>
          <w:spacing w:val="-4"/>
        </w:rPr>
        <w:t xml:space="preserve"> </w:t>
      </w:r>
      <w:r w:rsidR="00EE0D8D">
        <w:rPr>
          <w:spacing w:val="-4"/>
        </w:rPr>
        <w:t xml:space="preserve">shall </w:t>
      </w:r>
      <w:r w:rsidR="00920BD2">
        <w:t>have</w:t>
      </w:r>
      <w:r w:rsidR="00920BD2">
        <w:rPr>
          <w:spacing w:val="-3"/>
        </w:rPr>
        <w:t xml:space="preserve"> </w:t>
      </w:r>
      <w:r w:rsidR="00920BD2">
        <w:t>the</w:t>
      </w:r>
      <w:r w:rsidR="00920BD2">
        <w:rPr>
          <w:spacing w:val="-3"/>
        </w:rPr>
        <w:t xml:space="preserve"> </w:t>
      </w:r>
      <w:r w:rsidR="00920BD2">
        <w:t>meaning</w:t>
      </w:r>
      <w:r w:rsidR="00920BD2">
        <w:rPr>
          <w:spacing w:val="-6"/>
        </w:rPr>
        <w:t xml:space="preserve"> </w:t>
      </w:r>
      <w:r w:rsidR="00920BD2">
        <w:t>given</w:t>
      </w:r>
      <w:r w:rsidR="00920BD2">
        <w:rPr>
          <w:spacing w:val="-3"/>
        </w:rPr>
        <w:t xml:space="preserve"> </w:t>
      </w:r>
      <w:r w:rsidR="00920BD2">
        <w:t>them</w:t>
      </w:r>
      <w:r w:rsidR="00920BD2">
        <w:rPr>
          <w:spacing w:val="-7"/>
        </w:rPr>
        <w:t xml:space="preserve"> </w:t>
      </w:r>
      <w:r w:rsidR="00920BD2">
        <w:t>in</w:t>
      </w:r>
      <w:r w:rsidR="00920BD2">
        <w:rPr>
          <w:spacing w:val="-4"/>
        </w:rPr>
        <w:t xml:space="preserve"> </w:t>
      </w:r>
      <w:r w:rsidR="00920BD2">
        <w:t>the</w:t>
      </w:r>
      <w:r w:rsidR="00920BD2">
        <w:rPr>
          <w:spacing w:val="-3"/>
        </w:rPr>
        <w:t xml:space="preserve"> </w:t>
      </w:r>
      <w:r w:rsidR="00BF059A">
        <w:t>GDPR (as defined below).</w:t>
      </w:r>
    </w:p>
    <w:p w14:paraId="4B09CDD4" w14:textId="77777777" w:rsidR="00814D54" w:rsidRDefault="00814D54" w:rsidP="00A97CCB">
      <w:pPr>
        <w:spacing w:after="120"/>
        <w:ind w:left="187"/>
        <w:jc w:val="both"/>
      </w:pPr>
      <w:r>
        <w:t>“</w:t>
      </w:r>
      <w:r>
        <w:rPr>
          <w:b/>
          <w:bCs/>
        </w:rPr>
        <w:t xml:space="preserve">Account” </w:t>
      </w:r>
      <w:r>
        <w:t>means the Customer’s account on the DNAnexus offering where the Customer stores and processes Customer data.</w:t>
      </w:r>
    </w:p>
    <w:p w14:paraId="522A1A67" w14:textId="77777777" w:rsidR="008D749D" w:rsidRDefault="008D749D" w:rsidP="00A97CCB">
      <w:pPr>
        <w:spacing w:after="120"/>
        <w:ind w:left="187"/>
        <w:jc w:val="both"/>
      </w:pPr>
      <w:r>
        <w:t>“</w:t>
      </w:r>
      <w:r>
        <w:rPr>
          <w:b/>
          <w:bCs/>
        </w:rPr>
        <w:t>Affiliate</w:t>
      </w:r>
      <w:r>
        <w:t>” has the meaning set forth in the</w:t>
      </w:r>
      <w:r w:rsidR="00380A56">
        <w:t xml:space="preserve"> </w:t>
      </w:r>
      <w:r>
        <w:t>Agreement.</w:t>
      </w:r>
    </w:p>
    <w:p w14:paraId="3443B9D6" w14:textId="764EA446" w:rsidR="008D749D" w:rsidRPr="008D749D" w:rsidRDefault="008D749D" w:rsidP="00A97CCB">
      <w:pPr>
        <w:spacing w:after="120"/>
        <w:ind w:left="187"/>
        <w:jc w:val="both"/>
      </w:pPr>
      <w:r>
        <w:t>“</w:t>
      </w:r>
      <w:proofErr w:type="spellStart"/>
      <w:r w:rsidR="00FF4A7E">
        <w:rPr>
          <w:b/>
          <w:bCs/>
        </w:rPr>
        <w:t>Authorised</w:t>
      </w:r>
      <w:proofErr w:type="spellEnd"/>
      <w:r>
        <w:rPr>
          <w:b/>
          <w:bCs/>
        </w:rPr>
        <w:t xml:space="preserve"> Affiliate” </w:t>
      </w:r>
      <w:r>
        <w:t xml:space="preserve">shall mean a Customer Affiliate who has not signed an Order Form pursuant to the </w:t>
      </w:r>
      <w:r w:rsidR="00380A56">
        <w:t>Agreement but</w:t>
      </w:r>
      <w:r>
        <w:t xml:space="preserve"> is either a Data Controller or Data Processor for the Customer Personal Data processed by DNAnexus pursuant to this Agreement, for so long as such entity remains a Customer Affiliate.</w:t>
      </w:r>
    </w:p>
    <w:p w14:paraId="253D071C" w14:textId="36471F35" w:rsidR="00B10F7B" w:rsidRPr="007528A5" w:rsidRDefault="00B10F7B" w:rsidP="00A97CCB">
      <w:pPr>
        <w:spacing w:after="120"/>
        <w:ind w:left="187"/>
        <w:jc w:val="both"/>
      </w:pPr>
      <w:r>
        <w:t>“</w:t>
      </w:r>
      <w:r>
        <w:rPr>
          <w:b/>
          <w:bCs/>
        </w:rPr>
        <w:t>Business Associate</w:t>
      </w:r>
      <w:r>
        <w:t xml:space="preserve">” or </w:t>
      </w:r>
      <w:r>
        <w:rPr>
          <w:b/>
          <w:bCs/>
        </w:rPr>
        <w:t>“BA</w:t>
      </w:r>
      <w:r>
        <w:t>”</w:t>
      </w:r>
      <w:r w:rsidR="00017EF5">
        <w:t xml:space="preserve">, as defined by 45 CFR </w:t>
      </w:r>
      <w:r w:rsidR="00017EF5">
        <w:rPr>
          <w:rFonts w:ascii="Lato" w:hAnsi="Lato"/>
        </w:rPr>
        <w:t>§</w:t>
      </w:r>
      <w:r w:rsidR="00017EF5">
        <w:t xml:space="preserve"> </w:t>
      </w:r>
      <w:r w:rsidR="00644C18">
        <w:t>160.103,</w:t>
      </w:r>
      <w:r>
        <w:t xml:space="preserve"> is a person or entity</w:t>
      </w:r>
      <w:r w:rsidR="007528A5">
        <w:t xml:space="preserve"> who assists a </w:t>
      </w:r>
      <w:r w:rsidR="007528A5">
        <w:rPr>
          <w:b/>
          <w:bCs/>
        </w:rPr>
        <w:t>covered entity</w:t>
      </w:r>
      <w:r w:rsidR="007528A5">
        <w:t xml:space="preserve"> </w:t>
      </w:r>
      <w:r w:rsidR="000E7238">
        <w:t xml:space="preserve">in </w:t>
      </w:r>
      <w:r w:rsidR="007528A5">
        <w:t xml:space="preserve">a function or activity regulated by </w:t>
      </w:r>
      <w:r w:rsidR="00D94B74">
        <w:t>“</w:t>
      </w:r>
      <w:r w:rsidR="007528A5">
        <w:rPr>
          <w:b/>
          <w:bCs/>
        </w:rPr>
        <w:t>HIPAA</w:t>
      </w:r>
      <w:r w:rsidR="007528A5">
        <w:t>,</w:t>
      </w:r>
      <w:r w:rsidR="00D94B74">
        <w:t>”</w:t>
      </w:r>
      <w:r w:rsidR="007528A5">
        <w:t xml:space="preserve"> involving the use or disclosure of individually identifiable health information, or that provides certain services to a covered entity that involve the use or disclosure of individually identifiable health information.</w:t>
      </w:r>
    </w:p>
    <w:p w14:paraId="314671C6" w14:textId="77777777" w:rsidR="00814D54" w:rsidRDefault="00814D54" w:rsidP="00A97CCB">
      <w:pPr>
        <w:spacing w:after="120"/>
        <w:ind w:left="187"/>
        <w:jc w:val="both"/>
      </w:pPr>
      <w:r>
        <w:rPr>
          <w:b/>
          <w:bCs/>
        </w:rPr>
        <w:t>“California Consumer Privacy Act</w:t>
      </w:r>
      <w:r>
        <w:t>” or “</w:t>
      </w:r>
      <w:r>
        <w:rPr>
          <w:b/>
          <w:bCs/>
        </w:rPr>
        <w:t>CCPA</w:t>
      </w:r>
      <w:r>
        <w:t xml:space="preserve">” means the California Consumer Privacy Act of </w:t>
      </w:r>
      <w:r w:rsidR="00E50772">
        <w:t>2018, and</w:t>
      </w:r>
      <w:r w:rsidR="00B85F26">
        <w:t xml:space="preserve"> effective on Jan 1, 2020, </w:t>
      </w:r>
      <w:r>
        <w:t>as may be amended from time to time.</w:t>
      </w:r>
    </w:p>
    <w:p w14:paraId="76878009" w14:textId="77777777" w:rsidR="00B85F26" w:rsidRDefault="00B85F26" w:rsidP="00A97CCB">
      <w:pPr>
        <w:spacing w:after="120"/>
        <w:ind w:left="187"/>
        <w:jc w:val="both"/>
      </w:pPr>
      <w:r>
        <w:rPr>
          <w:b/>
          <w:bCs/>
        </w:rPr>
        <w:t>“California Privacy Rights Act</w:t>
      </w:r>
      <w:r>
        <w:t>” or “</w:t>
      </w:r>
      <w:r w:rsidRPr="00186564">
        <w:rPr>
          <w:b/>
          <w:bCs/>
        </w:rPr>
        <w:t>CPRA</w:t>
      </w:r>
      <w:r>
        <w:t xml:space="preserve">” </w:t>
      </w:r>
      <w:r w:rsidRPr="00B85F26">
        <w:t>means</w:t>
      </w:r>
      <w:r>
        <w:t xml:space="preserve"> the California Privacy Rights Act of 2020, effective on Jan 1, 2023, as may be amended from time to time.</w:t>
      </w:r>
    </w:p>
    <w:p w14:paraId="4747C192" w14:textId="45A4D6C6" w:rsidR="00B85F26" w:rsidRDefault="00B85F26" w:rsidP="00A97CCB">
      <w:pPr>
        <w:spacing w:after="120"/>
        <w:ind w:left="187"/>
        <w:jc w:val="both"/>
      </w:pPr>
      <w:r>
        <w:rPr>
          <w:b/>
          <w:bCs/>
        </w:rPr>
        <w:t>“Colorado Privacy Act</w:t>
      </w:r>
      <w:r>
        <w:t>” or “</w:t>
      </w:r>
      <w:r w:rsidR="00380A56">
        <w:rPr>
          <w:b/>
          <w:bCs/>
        </w:rPr>
        <w:t>CPA</w:t>
      </w:r>
      <w:r w:rsidR="00380A56">
        <w:t>”</w:t>
      </w:r>
      <w:r w:rsidR="004B357B">
        <w:t xml:space="preserve">, </w:t>
      </w:r>
      <w:r w:rsidR="00E31C66">
        <w:t xml:space="preserve">means </w:t>
      </w:r>
      <w:r w:rsidR="00E31C66" w:rsidRPr="00E31C66">
        <w:t xml:space="preserve">the </w:t>
      </w:r>
      <w:r w:rsidR="00E31C66" w:rsidRPr="002A1DDD">
        <w:rPr>
          <w:bCs/>
        </w:rPr>
        <w:t>Colorado Privacy Act</w:t>
      </w:r>
      <w:r w:rsidR="00E31C66">
        <w:t xml:space="preserve"> </w:t>
      </w:r>
      <w:r w:rsidR="004B357B">
        <w:t>effective July 1, 2024,</w:t>
      </w:r>
      <w:r w:rsidR="00380A56">
        <w:t xml:space="preserve"> as</w:t>
      </w:r>
      <w:r w:rsidR="009B5E97">
        <w:t xml:space="preserve"> may be amended from time to time.</w:t>
      </w:r>
    </w:p>
    <w:p w14:paraId="26D9D1E3" w14:textId="2DECB16D" w:rsidR="00B10F7B" w:rsidRPr="00B10F7B" w:rsidRDefault="00B10F7B" w:rsidP="00A97CCB">
      <w:pPr>
        <w:spacing w:after="120"/>
        <w:ind w:left="187"/>
        <w:jc w:val="both"/>
      </w:pPr>
      <w:r>
        <w:rPr>
          <w:b/>
          <w:bCs/>
        </w:rPr>
        <w:t>“</w:t>
      </w:r>
      <w:r w:rsidRPr="00374669">
        <w:rPr>
          <w:b/>
          <w:bCs/>
        </w:rPr>
        <w:t>Covered entities</w:t>
      </w:r>
      <w:r>
        <w:t xml:space="preserve">” are </w:t>
      </w:r>
      <w:proofErr w:type="gramStart"/>
      <w:r>
        <w:t xml:space="preserve">defined </w:t>
      </w:r>
      <w:r w:rsidR="00644C18">
        <w:t xml:space="preserve"> by</w:t>
      </w:r>
      <w:proofErr w:type="gramEnd"/>
      <w:r w:rsidR="00644C18">
        <w:t xml:space="preserve"> 45 CFR </w:t>
      </w:r>
      <w:r w:rsidR="00644C18">
        <w:rPr>
          <w:rFonts w:ascii="Lato" w:hAnsi="Lato"/>
        </w:rPr>
        <w:t>§</w:t>
      </w:r>
      <w:r w:rsidR="00644C18">
        <w:t xml:space="preserve"> 160.103 refers to</w:t>
      </w:r>
      <w:r>
        <w:t xml:space="preserve"> (1) health plans, (2) health care clearinghouses, and (3) health care providers who electronically transmit any health information in connection with direct or indirect transactions as defined by the US Health and Human Services.</w:t>
      </w:r>
    </w:p>
    <w:p w14:paraId="0D55AEC2" w14:textId="77777777" w:rsidR="00814D54" w:rsidRDefault="00814D54" w:rsidP="00A97CCB">
      <w:pPr>
        <w:spacing w:after="120"/>
        <w:ind w:left="187"/>
        <w:jc w:val="both"/>
      </w:pPr>
      <w:r>
        <w:t>“</w:t>
      </w:r>
      <w:r>
        <w:rPr>
          <w:b/>
          <w:bCs/>
        </w:rPr>
        <w:t>Customer Data</w:t>
      </w:r>
      <w:r>
        <w:t>” has the meaning set forth in this Agreement.</w:t>
      </w:r>
    </w:p>
    <w:p w14:paraId="2B1E1248" w14:textId="77777777" w:rsidR="00814D54" w:rsidRDefault="00814D54" w:rsidP="00A97CCB">
      <w:pPr>
        <w:spacing w:after="120"/>
        <w:ind w:left="187"/>
        <w:jc w:val="both"/>
      </w:pPr>
      <w:r>
        <w:t>“</w:t>
      </w:r>
      <w:r>
        <w:rPr>
          <w:b/>
          <w:bCs/>
        </w:rPr>
        <w:t>Customer Personal Data</w:t>
      </w:r>
      <w:r>
        <w:t>” means any Customer Data that is Personal Data</w:t>
      </w:r>
      <w:r w:rsidR="006108F6">
        <w:t>, including</w:t>
      </w:r>
      <w:r w:rsidR="00C8638B">
        <w:t>, but not exclusive,</w:t>
      </w:r>
      <w:r w:rsidR="006108F6">
        <w:t xml:space="preserve"> genomic</w:t>
      </w:r>
      <w:r w:rsidR="00C8638B">
        <w:t>, individually identifiable information and protected health information (PHI)</w:t>
      </w:r>
    </w:p>
    <w:p w14:paraId="3BB02AC6" w14:textId="4D929CDE" w:rsidR="00814D54" w:rsidRDefault="00814D54" w:rsidP="00A97CCB">
      <w:pPr>
        <w:spacing w:after="120"/>
        <w:ind w:left="187"/>
        <w:jc w:val="both"/>
      </w:pPr>
      <w:r>
        <w:t>“</w:t>
      </w:r>
      <w:r>
        <w:rPr>
          <w:b/>
          <w:bCs/>
        </w:rPr>
        <w:t>Data Controller</w:t>
      </w:r>
      <w:r>
        <w:t>” means an entity that determines the purposes and means of the Processing of Personal Data.</w:t>
      </w:r>
    </w:p>
    <w:p w14:paraId="7065C6DE" w14:textId="7DE1574D" w:rsidR="00814D54" w:rsidRDefault="00E31C66" w:rsidP="00A97CCB">
      <w:pPr>
        <w:spacing w:after="120"/>
        <w:ind w:left="187"/>
        <w:jc w:val="both"/>
      </w:pPr>
      <w:r w:rsidDel="00E31C66">
        <w:t xml:space="preserve"> </w:t>
      </w:r>
      <w:r w:rsidR="00814D54" w:rsidRPr="005A08F7">
        <w:t>“</w:t>
      </w:r>
      <w:r w:rsidR="00814D54">
        <w:rPr>
          <w:b/>
          <w:bCs/>
        </w:rPr>
        <w:t>Data Processor</w:t>
      </w:r>
      <w:r w:rsidR="00814D54">
        <w:t>” means an entity that Processes Personal Data on behalf of a Data Controller.</w:t>
      </w:r>
    </w:p>
    <w:p w14:paraId="0B8B23CB" w14:textId="77777777" w:rsidR="00814D54" w:rsidRDefault="00B85F26" w:rsidP="00A97CCB">
      <w:pPr>
        <w:spacing w:after="120"/>
        <w:ind w:left="187"/>
        <w:jc w:val="both"/>
      </w:pPr>
      <w:r>
        <w:rPr>
          <w:b/>
          <w:bCs/>
        </w:rPr>
        <w:t>“Data Protection Laws</w:t>
      </w:r>
      <w:r>
        <w:t xml:space="preserve">” means all data protection and privacy laws applicable to the respective party in its role in the Processing of Personal Data under this Agreement, including, where applicable, EU &amp; UK Data Protection Law, the CCPA, </w:t>
      </w:r>
      <w:r w:rsidR="00A86457">
        <w:t xml:space="preserve">CPRA, </w:t>
      </w:r>
      <w:r>
        <w:t xml:space="preserve">CPA, </w:t>
      </w:r>
      <w:r w:rsidR="009B5E97">
        <w:t>VCDPA, and HIPAA.</w:t>
      </w:r>
    </w:p>
    <w:p w14:paraId="73E8E102" w14:textId="77777777" w:rsidR="00A86457" w:rsidRDefault="00A86457" w:rsidP="00A97CCB">
      <w:pPr>
        <w:spacing w:after="120"/>
        <w:ind w:left="187"/>
        <w:jc w:val="both"/>
      </w:pPr>
      <w:r>
        <w:t>“</w:t>
      </w:r>
      <w:r>
        <w:rPr>
          <w:b/>
          <w:bCs/>
        </w:rPr>
        <w:t>Data Subject</w:t>
      </w:r>
      <w:r>
        <w:t>” means the identified or identifiable natural person to whom Customer Personal Data relates.</w:t>
      </w:r>
    </w:p>
    <w:p w14:paraId="589E91D4" w14:textId="1549E4ED" w:rsidR="00615C3D" w:rsidRDefault="00615C3D" w:rsidP="00A97CCB">
      <w:pPr>
        <w:spacing w:after="120"/>
        <w:ind w:left="187"/>
        <w:jc w:val="both"/>
      </w:pPr>
      <w:r>
        <w:t>“</w:t>
      </w:r>
      <w:r w:rsidRPr="00262553">
        <w:rPr>
          <w:b/>
        </w:rPr>
        <w:t>Data Subject Request</w:t>
      </w:r>
      <w:r>
        <w:t xml:space="preserve">” has the meaning given to it in Section </w:t>
      </w:r>
      <w:r>
        <w:fldChar w:fldCharType="begin"/>
      </w:r>
      <w:r>
        <w:instrText xml:space="preserve"> REF _Ref98414353 \r \h </w:instrText>
      </w:r>
      <w:r>
        <w:fldChar w:fldCharType="separate"/>
      </w:r>
      <w:r w:rsidR="00891F17">
        <w:t>6.1</w:t>
      </w:r>
      <w:r>
        <w:fldChar w:fldCharType="end"/>
      </w:r>
      <w:r>
        <w:t>.</w:t>
      </w:r>
    </w:p>
    <w:p w14:paraId="480D07C1" w14:textId="31DC34F8" w:rsidR="00A86457" w:rsidRDefault="00A86457" w:rsidP="00A97CCB">
      <w:pPr>
        <w:spacing w:after="120"/>
        <w:ind w:left="187"/>
        <w:jc w:val="both"/>
      </w:pPr>
      <w:r>
        <w:t>“</w:t>
      </w:r>
      <w:r>
        <w:rPr>
          <w:b/>
          <w:bCs/>
        </w:rPr>
        <w:t>EU &amp; UK Data Protection Law</w:t>
      </w:r>
      <w:r>
        <w:t xml:space="preserve">” </w:t>
      </w:r>
      <w:r w:rsidR="001D2D69">
        <w:t>means (</w:t>
      </w:r>
      <w:proofErr w:type="spellStart"/>
      <w:r w:rsidR="001D2D69">
        <w:t>i</w:t>
      </w:r>
      <w:proofErr w:type="spellEnd"/>
      <w:r w:rsidR="001D2D69">
        <w:t xml:space="preserve">) Regulation 2016/679 of the European Parliament and the Council on </w:t>
      </w:r>
      <w:r w:rsidR="001D2D69">
        <w:lastRenderedPageBreak/>
        <w:t xml:space="preserve">the protection of natural persons </w:t>
      </w:r>
      <w:proofErr w:type="gramStart"/>
      <w:r w:rsidR="001D2D69">
        <w:t>with regard to</w:t>
      </w:r>
      <w:proofErr w:type="gramEnd"/>
      <w:r w:rsidR="001D2D69">
        <w:t xml:space="preserve"> the Processing of Personal </w:t>
      </w:r>
      <w:r w:rsidR="00186564">
        <w:t>Data</w:t>
      </w:r>
      <w:r w:rsidR="001D2D69">
        <w:t xml:space="preserve"> and the free movement of such data (General Data Protection Regulation) (“</w:t>
      </w:r>
      <w:r w:rsidR="001D2D69">
        <w:rPr>
          <w:b/>
          <w:bCs/>
        </w:rPr>
        <w:t>GDPR</w:t>
      </w:r>
      <w:r w:rsidR="001D2D69">
        <w:t>”); and (ii) the GDPR as it forms part of the United Kingdom law pursuant to Section 3 of the European Union (</w:t>
      </w:r>
      <w:r w:rsidR="00C8638B">
        <w:t>Withdrawal</w:t>
      </w:r>
      <w:r w:rsidR="001D2D69">
        <w:t>) Act 2018 (“</w:t>
      </w:r>
      <w:r w:rsidR="001D2D69">
        <w:rPr>
          <w:b/>
          <w:bCs/>
        </w:rPr>
        <w:t>UK GDPR</w:t>
      </w:r>
      <w:r w:rsidR="001D2D69">
        <w:t xml:space="preserve">”) and the Data Protection Act of 2018. </w:t>
      </w:r>
    </w:p>
    <w:p w14:paraId="36EF6509" w14:textId="67E8E096" w:rsidR="009B5E97" w:rsidRDefault="009B5E97" w:rsidP="00A97CCB">
      <w:pPr>
        <w:spacing w:after="120"/>
        <w:ind w:left="187"/>
        <w:jc w:val="both"/>
      </w:pPr>
      <w:r>
        <w:t>“</w:t>
      </w:r>
      <w:r>
        <w:rPr>
          <w:b/>
          <w:bCs/>
        </w:rPr>
        <w:t>Health Insurance Portability and Accountability Act</w:t>
      </w:r>
      <w:r w:rsidR="00D94B74">
        <w:rPr>
          <w:b/>
          <w:bCs/>
        </w:rPr>
        <w:t xml:space="preserve"> of 1996</w:t>
      </w:r>
      <w:r>
        <w:t xml:space="preserve">” or </w:t>
      </w:r>
      <w:r w:rsidR="00D94B74">
        <w:t>“</w:t>
      </w:r>
      <w:r>
        <w:rPr>
          <w:b/>
          <w:bCs/>
        </w:rPr>
        <w:t>The Privacy Rule</w:t>
      </w:r>
      <w:r w:rsidRPr="002A1DDD">
        <w:t>”</w:t>
      </w:r>
      <w:r>
        <w:rPr>
          <w:b/>
          <w:bCs/>
        </w:rPr>
        <w:t xml:space="preserve"> </w:t>
      </w:r>
      <w:r>
        <w:t xml:space="preserve">or </w:t>
      </w:r>
      <w:r>
        <w:rPr>
          <w:b/>
          <w:bCs/>
        </w:rPr>
        <w:t xml:space="preserve">“HIPAA” </w:t>
      </w:r>
      <w:r w:rsidR="00A86457">
        <w:t>is a</w:t>
      </w:r>
      <w:r>
        <w:t xml:space="preserve"> US </w:t>
      </w:r>
      <w:r w:rsidR="00A86457">
        <w:t xml:space="preserve">federal law </w:t>
      </w:r>
      <w:r>
        <w:t xml:space="preserve">pertaining to Personal Health Information as defined by 45 CFR §164.102, </w:t>
      </w:r>
      <w:r w:rsidR="00A86457">
        <w:t>45 CFR §164.</w:t>
      </w:r>
      <w:r>
        <w:t xml:space="preserve">162 and </w:t>
      </w:r>
      <w:r w:rsidR="00A86457">
        <w:t>45 CFR §164.</w:t>
      </w:r>
      <w:r>
        <w:t>162.</w:t>
      </w:r>
    </w:p>
    <w:p w14:paraId="7E311A78" w14:textId="3CB24CDD" w:rsidR="004F1F3B" w:rsidRDefault="004F1F3B" w:rsidP="00ED2DD6">
      <w:pPr>
        <w:spacing w:after="120"/>
        <w:ind w:left="187"/>
        <w:jc w:val="both"/>
      </w:pPr>
      <w:r>
        <w:t>“</w:t>
      </w:r>
      <w:r>
        <w:rPr>
          <w:b/>
          <w:bCs/>
        </w:rPr>
        <w:t>Hosting Region</w:t>
      </w:r>
      <w:r>
        <w:t>” is the geographic location of the physical infrastructure where DNAnexus operates the storage and processing.</w:t>
      </w:r>
    </w:p>
    <w:p w14:paraId="1F3B94F3" w14:textId="727F7BFC" w:rsidR="00D94B74" w:rsidRPr="00F9001A" w:rsidRDefault="00D94B74" w:rsidP="002B5658">
      <w:pPr>
        <w:spacing w:after="120"/>
        <w:ind w:left="187"/>
        <w:jc w:val="both"/>
      </w:pPr>
      <w:r>
        <w:t xml:space="preserve"> “</w:t>
      </w:r>
      <w:r>
        <w:rPr>
          <w:b/>
          <w:bCs/>
        </w:rPr>
        <w:t>UK Addendum</w:t>
      </w:r>
      <w:r>
        <w:t xml:space="preserve">” </w:t>
      </w:r>
      <w:r w:rsidR="002B5658">
        <w:t xml:space="preserve">means the International Data Transfer Addendum to the EU Commission Standard Contractual Clauses </w:t>
      </w:r>
      <w:r w:rsidR="00F9001A">
        <w:t>effective March 21, 2022</w:t>
      </w:r>
      <w:r w:rsidR="002B5658">
        <w:t xml:space="preserve">, available here: </w:t>
      </w:r>
      <w:r w:rsidR="002B5658" w:rsidRPr="002B5658">
        <w:t>https://ico.org.uk/media/for-organisations/documents/4019539/international-data-transfer-addendum.pdf</w:t>
      </w:r>
      <w:r w:rsidR="00F9001A">
        <w:t>.</w:t>
      </w:r>
    </w:p>
    <w:p w14:paraId="1903CFA8" w14:textId="1571ACDA" w:rsidR="00B10F7B" w:rsidRPr="00017EF5" w:rsidRDefault="001D2D69" w:rsidP="00262553">
      <w:pPr>
        <w:spacing w:after="120"/>
        <w:ind w:left="187"/>
        <w:jc w:val="both"/>
      </w:pPr>
      <w:r>
        <w:t>“</w:t>
      </w:r>
      <w:r>
        <w:rPr>
          <w:b/>
          <w:bCs/>
        </w:rPr>
        <w:t>Personal Data</w:t>
      </w:r>
      <w:r>
        <w:t>” means any information, including opinions, relating to an identified or identifiable natural person and includes similarly defined terms in Data Protection Laws, including, but not limited to, the definition of “</w:t>
      </w:r>
      <w:r>
        <w:rPr>
          <w:b/>
          <w:bCs/>
        </w:rPr>
        <w:t>personal information</w:t>
      </w:r>
      <w:r>
        <w:t>”</w:t>
      </w:r>
      <w:r w:rsidR="004B357B">
        <w:t xml:space="preserve"> or “</w:t>
      </w:r>
      <w:r w:rsidR="004B357B">
        <w:rPr>
          <w:b/>
          <w:bCs/>
        </w:rPr>
        <w:t>Customer Personal Data</w:t>
      </w:r>
      <w:r w:rsidR="004B357B">
        <w:t>”</w:t>
      </w:r>
      <w:r>
        <w:t xml:space="preserve"> in CCPA, CPRA, CPA, </w:t>
      </w:r>
      <w:r w:rsidR="00D42727">
        <w:t xml:space="preserve">UCPA, </w:t>
      </w:r>
      <w:r>
        <w:t>and VCDPA.</w:t>
      </w:r>
      <w:r w:rsidR="00017EF5">
        <w:t xml:space="preserve"> Personal data extends to Personal Identifiable Information as defined by GDPR in </w:t>
      </w:r>
      <w:r w:rsidR="00017EF5" w:rsidRPr="002A1DDD">
        <w:rPr>
          <w:i/>
          <w:iCs/>
        </w:rPr>
        <w:t>Article 4</w:t>
      </w:r>
      <w:r w:rsidR="00017EF5">
        <w:t>.</w:t>
      </w:r>
    </w:p>
    <w:p w14:paraId="24582072" w14:textId="0A58B09B" w:rsidR="00017EF5" w:rsidRPr="00017EF5" w:rsidRDefault="00017EF5" w:rsidP="00262553">
      <w:pPr>
        <w:spacing w:after="120"/>
        <w:ind w:left="187"/>
        <w:jc w:val="both"/>
      </w:pPr>
      <w:r>
        <w:t>“</w:t>
      </w:r>
      <w:r>
        <w:rPr>
          <w:b/>
          <w:bCs/>
        </w:rPr>
        <w:t>Personal Identifiable Information</w:t>
      </w:r>
      <w:r>
        <w:t>” or “</w:t>
      </w:r>
      <w:r>
        <w:rPr>
          <w:b/>
          <w:bCs/>
        </w:rPr>
        <w:t>PII</w:t>
      </w:r>
      <w:r>
        <w:t xml:space="preserve">” is any data that can be used to clearly identify an individual. </w:t>
      </w:r>
    </w:p>
    <w:p w14:paraId="42421B26" w14:textId="77777777" w:rsidR="00B17D36" w:rsidRPr="00374669" w:rsidRDefault="00B17D36" w:rsidP="00262553">
      <w:pPr>
        <w:spacing w:after="120"/>
        <w:ind w:left="187"/>
        <w:jc w:val="both"/>
        <w:rPr>
          <w:b/>
          <w:bCs/>
        </w:rPr>
      </w:pPr>
      <w:r>
        <w:t>“</w:t>
      </w:r>
      <w:r>
        <w:rPr>
          <w:b/>
          <w:bCs/>
        </w:rPr>
        <w:t>Protected Health Information</w:t>
      </w:r>
      <w:r>
        <w:t>” or “</w:t>
      </w:r>
      <w:r>
        <w:rPr>
          <w:b/>
          <w:bCs/>
        </w:rPr>
        <w:t>PHI</w:t>
      </w:r>
      <w:r>
        <w:t xml:space="preserve">” </w:t>
      </w:r>
      <w:r w:rsidR="00B10F7B">
        <w:t>or “</w:t>
      </w:r>
      <w:r w:rsidR="00B10F7B" w:rsidRPr="00374669">
        <w:t>ePHI</w:t>
      </w:r>
      <w:r w:rsidR="00B10F7B">
        <w:t xml:space="preserve">” is paper or electronic health information that the </w:t>
      </w:r>
      <w:r>
        <w:t>US federal protections held by “</w:t>
      </w:r>
      <w:r>
        <w:rPr>
          <w:b/>
          <w:bCs/>
        </w:rPr>
        <w:t>covered entities</w:t>
      </w:r>
      <w:r>
        <w:t>” and gives patients an array of rights with respect to that information, while also permitting the disclosure of PHI needed for patient care and other important purposes.</w:t>
      </w:r>
      <w:r w:rsidR="00B10F7B">
        <w:t xml:space="preserve"> </w:t>
      </w:r>
    </w:p>
    <w:p w14:paraId="7D1866B4" w14:textId="2646965C" w:rsidR="001D2D69" w:rsidRDefault="001D2D69" w:rsidP="00262553">
      <w:pPr>
        <w:spacing w:after="120"/>
        <w:ind w:left="187"/>
        <w:jc w:val="both"/>
      </w:pPr>
      <w:r>
        <w:t>“</w:t>
      </w:r>
      <w:r>
        <w:rPr>
          <w:b/>
          <w:bCs/>
        </w:rPr>
        <w:t xml:space="preserve">Processing” </w:t>
      </w:r>
      <w:r>
        <w:t xml:space="preserve">shall </w:t>
      </w:r>
      <w:r w:rsidR="001D189D">
        <w:t xml:space="preserve">have the meaning given to it in the applicable Data Protection Law.  If </w:t>
      </w:r>
      <w:r w:rsidR="00633592">
        <w:t xml:space="preserve">it is not defined by applicable Data Protection Law, it shall </w:t>
      </w:r>
      <w:r>
        <w:t xml:space="preserve">mean any operation </w:t>
      </w:r>
      <w:r w:rsidR="00D67141">
        <w:t>or set of operations that is performed on Personal Data or on sets of Personal Data, whether or not by automated means, such as collection, recording, organization, structuring, storage, adaptation or alteration, retrieval, consultation, use, disclosure by transmission, dissemination and “</w:t>
      </w:r>
      <w:r w:rsidR="00D67141">
        <w:rPr>
          <w:b/>
          <w:bCs/>
        </w:rPr>
        <w:t>Process</w:t>
      </w:r>
      <w:r w:rsidR="00D67141">
        <w:t>,” “</w:t>
      </w:r>
      <w:r w:rsidR="00D67141">
        <w:rPr>
          <w:b/>
          <w:bCs/>
        </w:rPr>
        <w:t>Processes</w:t>
      </w:r>
      <w:r w:rsidR="00D67141">
        <w:t>,” and “</w:t>
      </w:r>
      <w:r w:rsidR="00D67141">
        <w:rPr>
          <w:b/>
          <w:bCs/>
        </w:rPr>
        <w:t xml:space="preserve">Processed” </w:t>
      </w:r>
      <w:r w:rsidR="00D67141">
        <w:t>will be interpreted accordingly.</w:t>
      </w:r>
      <w:r w:rsidR="009A0603">
        <w:t xml:space="preserve"> This definition does not amend the definition where GDPR applies.</w:t>
      </w:r>
    </w:p>
    <w:p w14:paraId="2C2908CB" w14:textId="77777777" w:rsidR="002159E7" w:rsidRDefault="002159E7" w:rsidP="00262553">
      <w:pPr>
        <w:spacing w:after="120"/>
        <w:ind w:left="187"/>
        <w:jc w:val="both"/>
      </w:pPr>
      <w:r>
        <w:rPr>
          <w:b/>
          <w:bCs/>
        </w:rPr>
        <w:t>“Purposes</w:t>
      </w:r>
      <w:r>
        <w:t>” shall mean (</w:t>
      </w:r>
      <w:proofErr w:type="spellStart"/>
      <w:r>
        <w:t>i</w:t>
      </w:r>
      <w:proofErr w:type="spellEnd"/>
      <w:r>
        <w:t>) DNAnexus’ provision of the Services as described in the Master S</w:t>
      </w:r>
      <w:r w:rsidR="006A25E1">
        <w:t xml:space="preserve">ubscription </w:t>
      </w:r>
      <w:r>
        <w:t>Agreement, including Processing initiated by Users in their use of the Services; and (ii) further documented, reasonable instructions from the Customers agreed upon by the Parties.</w:t>
      </w:r>
    </w:p>
    <w:p w14:paraId="429A1D4B" w14:textId="066A6A8A" w:rsidR="00C8182D" w:rsidRDefault="00C8182D" w:rsidP="00ED2DD6">
      <w:pPr>
        <w:spacing w:after="120"/>
        <w:ind w:left="187"/>
        <w:jc w:val="both"/>
      </w:pPr>
      <w:r>
        <w:t>“</w:t>
      </w:r>
      <w:r>
        <w:rPr>
          <w:b/>
          <w:bCs/>
        </w:rPr>
        <w:t>Restricted Countries</w:t>
      </w:r>
      <w:r>
        <w:t xml:space="preserve">” </w:t>
      </w:r>
      <w:r w:rsidR="007B1404">
        <w:t xml:space="preserve">has the meaning given to it in Section </w:t>
      </w:r>
      <w:r w:rsidR="007B1404">
        <w:fldChar w:fldCharType="begin"/>
      </w:r>
      <w:r w:rsidR="007B1404">
        <w:instrText xml:space="preserve"> REF _Ref98414186 \r \h </w:instrText>
      </w:r>
      <w:r w:rsidR="007B1404">
        <w:fldChar w:fldCharType="separate"/>
      </w:r>
      <w:r w:rsidR="00891F17">
        <w:t>12.1</w:t>
      </w:r>
      <w:r w:rsidR="007B1404">
        <w:fldChar w:fldCharType="end"/>
      </w:r>
      <w:r>
        <w:t>.</w:t>
      </w:r>
    </w:p>
    <w:p w14:paraId="3B85E256" w14:textId="1B6FBDF9" w:rsidR="00564CD2" w:rsidRPr="00564CD2" w:rsidRDefault="00564CD2" w:rsidP="00ED2DD6">
      <w:pPr>
        <w:spacing w:after="120"/>
        <w:ind w:left="187"/>
        <w:jc w:val="both"/>
      </w:pPr>
      <w:r>
        <w:t>“</w:t>
      </w:r>
      <w:r>
        <w:rPr>
          <w:b/>
          <w:bCs/>
        </w:rPr>
        <w:t>Restricted Transfers</w:t>
      </w:r>
      <w:r>
        <w:t xml:space="preserve">” </w:t>
      </w:r>
      <w:r w:rsidR="00E31C66">
        <w:t>has the meaning given to it in</w:t>
      </w:r>
      <w:r>
        <w:t xml:space="preserve"> the GDPR.</w:t>
      </w:r>
    </w:p>
    <w:p w14:paraId="3D4321E6" w14:textId="75401C6D" w:rsidR="002159E7" w:rsidRDefault="002159E7" w:rsidP="00262553">
      <w:pPr>
        <w:spacing w:after="120"/>
        <w:ind w:left="187"/>
        <w:jc w:val="both"/>
      </w:pPr>
      <w:r>
        <w:t>“</w:t>
      </w:r>
      <w:r>
        <w:rPr>
          <w:b/>
          <w:bCs/>
        </w:rPr>
        <w:t>Security Incident</w:t>
      </w:r>
      <w:r>
        <w:t xml:space="preserve">” means a breach of security, leading to the accidental or unlawful destruction, loss, alteration, </w:t>
      </w:r>
      <w:r w:rsidR="00A97CCB">
        <w:t>unauthorized</w:t>
      </w:r>
      <w:r>
        <w:t xml:space="preserve"> disclosure of or access to</w:t>
      </w:r>
      <w:r w:rsidR="004B357B">
        <w:t xml:space="preserve"> Personal Data, </w:t>
      </w:r>
      <w:r>
        <w:t>Customer Personal Data</w:t>
      </w:r>
      <w:r w:rsidR="004B357B">
        <w:t xml:space="preserve">, </w:t>
      </w:r>
      <w:r w:rsidR="00017EF5">
        <w:t xml:space="preserve">Protected Health Information, </w:t>
      </w:r>
      <w:r w:rsidR="004B357B">
        <w:t>and Personal Identifiable Information.</w:t>
      </w:r>
    </w:p>
    <w:p w14:paraId="53783957" w14:textId="3BB1966E" w:rsidR="002159E7" w:rsidRDefault="00E31C66" w:rsidP="00262553">
      <w:pPr>
        <w:spacing w:after="120"/>
        <w:ind w:left="187"/>
        <w:jc w:val="both"/>
      </w:pPr>
      <w:r w:rsidDel="00E31C66">
        <w:t xml:space="preserve"> </w:t>
      </w:r>
      <w:r w:rsidR="002159E7">
        <w:t>“</w:t>
      </w:r>
      <w:r w:rsidR="002159E7">
        <w:rPr>
          <w:b/>
          <w:bCs/>
        </w:rPr>
        <w:t>Services</w:t>
      </w:r>
      <w:r w:rsidR="002159E7">
        <w:t xml:space="preserve">” </w:t>
      </w:r>
      <w:r w:rsidR="005A08F7">
        <w:t xml:space="preserve">has the meaning given to it under the applicable Data Protection Law. This term </w:t>
      </w:r>
      <w:r w:rsidR="002159E7">
        <w:t>generally</w:t>
      </w:r>
      <w:r w:rsidR="005A08F7">
        <w:t xml:space="preserve"> means the</w:t>
      </w:r>
      <w:r w:rsidR="002159E7">
        <w:t xml:space="preserve"> available DNAnexus Platform-as-a-Service offering described in the Documentation and procured by the Customer, and any other services provided by DNAnexus as described under the Master S</w:t>
      </w:r>
      <w:r w:rsidR="006A25E1">
        <w:t>ubscription</w:t>
      </w:r>
      <w:r w:rsidR="002159E7">
        <w:t xml:space="preserve"> Agreement, including but not limited to support and technical services.</w:t>
      </w:r>
    </w:p>
    <w:p w14:paraId="463C8EB4" w14:textId="703FA9B7" w:rsidR="006C3DE0" w:rsidRDefault="00B17D36" w:rsidP="00262553">
      <w:pPr>
        <w:spacing w:after="120"/>
        <w:ind w:left="187"/>
        <w:jc w:val="both"/>
      </w:pPr>
      <w:r>
        <w:t>“</w:t>
      </w:r>
      <w:r>
        <w:rPr>
          <w:b/>
          <w:bCs/>
        </w:rPr>
        <w:t>SCCs</w:t>
      </w:r>
      <w:r>
        <w:t xml:space="preserve">” </w:t>
      </w:r>
      <w:r w:rsidR="00615C3D">
        <w:t>or “</w:t>
      </w:r>
      <w:r w:rsidR="00615C3D" w:rsidRPr="00262553">
        <w:rPr>
          <w:b/>
        </w:rPr>
        <w:t>Standard Contractual Clauses</w:t>
      </w:r>
      <w:r w:rsidR="00615C3D">
        <w:t xml:space="preserve">” </w:t>
      </w:r>
      <w:r>
        <w:t xml:space="preserve">means the standard contractual clauses for the transfer of personal data to third countries approved pursuant to Commission Decision (EU) 2021/914 of 4 June 2021, found at </w:t>
      </w:r>
      <w:hyperlink r:id="rId8" w:history="1">
        <w:r w:rsidRPr="00B17D36">
          <w:rPr>
            <w:rStyle w:val="Hyperlink"/>
          </w:rPr>
          <w:t>https://ec.europa.eu/info/law/law-topic/data-protection/international-dimension-data-protection/standard-contractual-clauses-scc_en</w:t>
        </w:r>
      </w:hyperlink>
    </w:p>
    <w:p w14:paraId="4DFC88C1" w14:textId="1EB950CB" w:rsidR="008937F2" w:rsidRPr="008937F2" w:rsidRDefault="008937F2" w:rsidP="00D94B74">
      <w:pPr>
        <w:spacing w:after="120"/>
        <w:ind w:left="187"/>
        <w:jc w:val="both"/>
      </w:pPr>
      <w:r>
        <w:t>“</w:t>
      </w:r>
      <w:r>
        <w:rPr>
          <w:b/>
          <w:bCs/>
        </w:rPr>
        <w:t>Third Party Controller</w:t>
      </w:r>
      <w:r>
        <w:t xml:space="preserve">” </w:t>
      </w:r>
      <w:r w:rsidR="007268A4">
        <w:t xml:space="preserve">has the meaning given to it in Section </w:t>
      </w:r>
      <w:r w:rsidR="007268A4">
        <w:fldChar w:fldCharType="begin"/>
      </w:r>
      <w:r w:rsidR="007268A4">
        <w:instrText xml:space="preserve"> REF _Ref98415912 \r \h </w:instrText>
      </w:r>
      <w:r w:rsidR="007268A4">
        <w:fldChar w:fldCharType="separate"/>
      </w:r>
      <w:r w:rsidR="00891F17">
        <w:t>4.1</w:t>
      </w:r>
      <w:r w:rsidR="007268A4">
        <w:fldChar w:fldCharType="end"/>
      </w:r>
      <w:r>
        <w:t xml:space="preserve">. </w:t>
      </w:r>
    </w:p>
    <w:p w14:paraId="3D855091" w14:textId="6B49F1A5" w:rsidR="004F1F3B" w:rsidRDefault="004F1F3B" w:rsidP="00ED2DD6">
      <w:pPr>
        <w:spacing w:after="120"/>
        <w:ind w:left="187"/>
        <w:jc w:val="both"/>
      </w:pPr>
      <w:r>
        <w:t>“</w:t>
      </w:r>
      <w:r>
        <w:rPr>
          <w:b/>
          <w:bCs/>
        </w:rPr>
        <w:t>User</w:t>
      </w:r>
      <w:r>
        <w:t xml:space="preserve">” is the individual operating under a commercial contract or End User Agreement with DNAnexus.  </w:t>
      </w:r>
    </w:p>
    <w:p w14:paraId="0EC834A4" w14:textId="1D77E02B" w:rsidR="001E601D" w:rsidRPr="001E601D" w:rsidRDefault="001E601D" w:rsidP="00ED2DD6">
      <w:pPr>
        <w:spacing w:after="120"/>
        <w:ind w:left="187"/>
        <w:jc w:val="both"/>
      </w:pPr>
      <w:r>
        <w:t>“</w:t>
      </w:r>
      <w:r>
        <w:rPr>
          <w:b/>
          <w:bCs/>
        </w:rPr>
        <w:t xml:space="preserve">Utah Consumer Privacy Act” </w:t>
      </w:r>
      <w:r>
        <w:t>or “</w:t>
      </w:r>
      <w:r>
        <w:rPr>
          <w:b/>
          <w:bCs/>
        </w:rPr>
        <w:t>UCPA</w:t>
      </w:r>
      <w:r>
        <w:t>”</w:t>
      </w:r>
      <w:r w:rsidR="00D42727">
        <w:t>, effective on December 31, 2023,</w:t>
      </w:r>
      <w:r>
        <w:t xml:space="preserve"> as may be amended from time to time.</w:t>
      </w:r>
    </w:p>
    <w:p w14:paraId="1C3B6FE7" w14:textId="4A6594EB" w:rsidR="009B5E97" w:rsidRPr="009B5E97" w:rsidRDefault="009B5E97" w:rsidP="00262553">
      <w:pPr>
        <w:spacing w:after="120"/>
        <w:ind w:left="187"/>
        <w:jc w:val="both"/>
      </w:pPr>
      <w:r>
        <w:rPr>
          <w:b/>
          <w:bCs/>
        </w:rPr>
        <w:t>“Virginia Consumer Data Protection Act</w:t>
      </w:r>
      <w:r>
        <w:t>” or “</w:t>
      </w:r>
      <w:r w:rsidRPr="009B5E97">
        <w:rPr>
          <w:b/>
          <w:bCs/>
        </w:rPr>
        <w:t>VCDPA</w:t>
      </w:r>
      <w:r>
        <w:t>”</w:t>
      </w:r>
      <w:r w:rsidR="004B357B">
        <w:t>, effective January 1, 2023,</w:t>
      </w:r>
      <w:r w:rsidRPr="009B5E97">
        <w:t xml:space="preserve"> </w:t>
      </w:r>
      <w:r>
        <w:t>as may be amended from time to time.</w:t>
      </w:r>
    </w:p>
    <w:p w14:paraId="2F40A299" w14:textId="77777777" w:rsidR="00814D54" w:rsidRPr="00814D54" w:rsidRDefault="00814D54" w:rsidP="00374669">
      <w:pPr>
        <w:ind w:left="900"/>
      </w:pPr>
    </w:p>
    <w:p w14:paraId="72B543CC" w14:textId="77777777" w:rsidR="005D7F64" w:rsidRDefault="005D7F64">
      <w:pPr>
        <w:pStyle w:val="Heading1"/>
        <w:numPr>
          <w:ilvl w:val="0"/>
          <w:numId w:val="1"/>
        </w:numPr>
        <w:tabs>
          <w:tab w:val="left" w:pos="829"/>
        </w:tabs>
        <w:kinsoku w:val="0"/>
        <w:overflowPunct w:val="0"/>
        <w:spacing w:before="193"/>
        <w:ind w:hanging="722"/>
        <w:jc w:val="both"/>
      </w:pPr>
      <w:r>
        <w:lastRenderedPageBreak/>
        <w:t>PROCESSING</w:t>
      </w:r>
    </w:p>
    <w:p w14:paraId="2EF6D4B5" w14:textId="77777777" w:rsidR="005D7F64" w:rsidRDefault="005D7F64">
      <w:pPr>
        <w:pStyle w:val="ListParagraph"/>
        <w:numPr>
          <w:ilvl w:val="1"/>
          <w:numId w:val="1"/>
        </w:numPr>
        <w:tabs>
          <w:tab w:val="left" w:pos="829"/>
        </w:tabs>
        <w:kinsoku w:val="0"/>
        <w:overflowPunct w:val="0"/>
        <w:ind w:left="107" w:right="105" w:firstLine="0"/>
        <w:rPr>
          <w:sz w:val="22"/>
          <w:szCs w:val="22"/>
        </w:rPr>
      </w:pPr>
      <w:r>
        <w:rPr>
          <w:sz w:val="22"/>
          <w:szCs w:val="22"/>
        </w:rPr>
        <w:t>The</w:t>
      </w:r>
      <w:r>
        <w:rPr>
          <w:spacing w:val="-9"/>
          <w:sz w:val="22"/>
          <w:szCs w:val="22"/>
        </w:rPr>
        <w:t xml:space="preserve"> </w:t>
      </w:r>
      <w:r>
        <w:rPr>
          <w:sz w:val="22"/>
          <w:szCs w:val="22"/>
        </w:rPr>
        <w:t>Customer</w:t>
      </w:r>
      <w:r>
        <w:rPr>
          <w:spacing w:val="-7"/>
          <w:sz w:val="22"/>
          <w:szCs w:val="22"/>
        </w:rPr>
        <w:t xml:space="preserve"> </w:t>
      </w:r>
      <w:r>
        <w:rPr>
          <w:sz w:val="22"/>
          <w:szCs w:val="22"/>
        </w:rPr>
        <w:t>(a)</w:t>
      </w:r>
      <w:r>
        <w:rPr>
          <w:spacing w:val="-10"/>
          <w:sz w:val="22"/>
          <w:szCs w:val="22"/>
        </w:rPr>
        <w:t xml:space="preserve"> </w:t>
      </w:r>
      <w:r>
        <w:rPr>
          <w:sz w:val="22"/>
          <w:szCs w:val="22"/>
        </w:rPr>
        <w:t>is</w:t>
      </w:r>
      <w:r>
        <w:rPr>
          <w:spacing w:val="-8"/>
          <w:sz w:val="22"/>
          <w:szCs w:val="22"/>
        </w:rPr>
        <w:t xml:space="preserve"> </w:t>
      </w:r>
      <w:r>
        <w:rPr>
          <w:sz w:val="22"/>
          <w:szCs w:val="22"/>
        </w:rPr>
        <w:t>the</w:t>
      </w:r>
      <w:r>
        <w:rPr>
          <w:spacing w:val="-8"/>
          <w:sz w:val="22"/>
          <w:szCs w:val="22"/>
        </w:rPr>
        <w:t xml:space="preserve"> </w:t>
      </w:r>
      <w:r>
        <w:rPr>
          <w:sz w:val="22"/>
          <w:szCs w:val="22"/>
        </w:rPr>
        <w:t>sole</w:t>
      </w:r>
      <w:r>
        <w:rPr>
          <w:spacing w:val="-11"/>
          <w:sz w:val="22"/>
          <w:szCs w:val="22"/>
        </w:rPr>
        <w:t xml:space="preserve"> </w:t>
      </w:r>
      <w:r>
        <w:rPr>
          <w:sz w:val="22"/>
          <w:szCs w:val="22"/>
        </w:rPr>
        <w:t>Controller</w:t>
      </w:r>
      <w:r>
        <w:rPr>
          <w:spacing w:val="-7"/>
          <w:sz w:val="22"/>
          <w:szCs w:val="22"/>
        </w:rPr>
        <w:t xml:space="preserve"> </w:t>
      </w:r>
      <w:r>
        <w:rPr>
          <w:sz w:val="22"/>
          <w:szCs w:val="22"/>
        </w:rPr>
        <w:t>of</w:t>
      </w:r>
      <w:r>
        <w:rPr>
          <w:spacing w:val="-8"/>
          <w:sz w:val="22"/>
          <w:szCs w:val="22"/>
        </w:rPr>
        <w:t xml:space="preserve"> </w:t>
      </w:r>
      <w:r>
        <w:rPr>
          <w:sz w:val="22"/>
          <w:szCs w:val="22"/>
        </w:rPr>
        <w:t>Customer</w:t>
      </w:r>
      <w:r>
        <w:rPr>
          <w:spacing w:val="-8"/>
          <w:sz w:val="22"/>
          <w:szCs w:val="22"/>
        </w:rPr>
        <w:t xml:space="preserve"> </w:t>
      </w:r>
      <w:r>
        <w:rPr>
          <w:sz w:val="22"/>
          <w:szCs w:val="22"/>
        </w:rPr>
        <w:t>Personal</w:t>
      </w:r>
      <w:r>
        <w:rPr>
          <w:spacing w:val="-8"/>
          <w:sz w:val="22"/>
          <w:szCs w:val="22"/>
        </w:rPr>
        <w:t xml:space="preserve"> </w:t>
      </w:r>
      <w:r>
        <w:rPr>
          <w:sz w:val="22"/>
          <w:szCs w:val="22"/>
        </w:rPr>
        <w:t>Data</w:t>
      </w:r>
      <w:r>
        <w:rPr>
          <w:spacing w:val="-11"/>
          <w:sz w:val="22"/>
          <w:szCs w:val="22"/>
        </w:rPr>
        <w:t xml:space="preserve"> </w:t>
      </w:r>
      <w:r>
        <w:rPr>
          <w:sz w:val="22"/>
          <w:szCs w:val="22"/>
        </w:rPr>
        <w:t>or</w:t>
      </w:r>
      <w:r>
        <w:rPr>
          <w:spacing w:val="-8"/>
          <w:sz w:val="22"/>
          <w:szCs w:val="22"/>
        </w:rPr>
        <w:t xml:space="preserve"> </w:t>
      </w:r>
      <w:r>
        <w:rPr>
          <w:sz w:val="22"/>
          <w:szCs w:val="22"/>
        </w:rPr>
        <w:t>(b)</w:t>
      </w:r>
      <w:r>
        <w:rPr>
          <w:spacing w:val="-8"/>
          <w:sz w:val="22"/>
          <w:szCs w:val="22"/>
        </w:rPr>
        <w:t xml:space="preserve"> </w:t>
      </w:r>
      <w:r>
        <w:rPr>
          <w:sz w:val="22"/>
          <w:szCs w:val="22"/>
        </w:rPr>
        <w:t>has</w:t>
      </w:r>
      <w:r>
        <w:rPr>
          <w:spacing w:val="-8"/>
          <w:sz w:val="22"/>
          <w:szCs w:val="22"/>
        </w:rPr>
        <w:t xml:space="preserve"> </w:t>
      </w:r>
      <w:r>
        <w:rPr>
          <w:sz w:val="22"/>
          <w:szCs w:val="22"/>
        </w:rPr>
        <w:t>been</w:t>
      </w:r>
      <w:r>
        <w:rPr>
          <w:spacing w:val="-8"/>
          <w:sz w:val="22"/>
          <w:szCs w:val="22"/>
        </w:rPr>
        <w:t xml:space="preserve"> </w:t>
      </w:r>
      <w:r>
        <w:rPr>
          <w:sz w:val="22"/>
          <w:szCs w:val="22"/>
        </w:rPr>
        <w:t>instructed</w:t>
      </w:r>
      <w:r>
        <w:rPr>
          <w:spacing w:val="-8"/>
          <w:sz w:val="22"/>
          <w:szCs w:val="22"/>
        </w:rPr>
        <w:t xml:space="preserve"> </w:t>
      </w:r>
      <w:r>
        <w:rPr>
          <w:sz w:val="22"/>
          <w:szCs w:val="22"/>
        </w:rPr>
        <w:t>by</w:t>
      </w:r>
      <w:r>
        <w:rPr>
          <w:spacing w:val="-12"/>
          <w:sz w:val="22"/>
          <w:szCs w:val="22"/>
        </w:rPr>
        <w:t xml:space="preserve"> </w:t>
      </w:r>
      <w:r>
        <w:rPr>
          <w:sz w:val="22"/>
          <w:szCs w:val="22"/>
        </w:rPr>
        <w:t>and</w:t>
      </w:r>
      <w:r>
        <w:rPr>
          <w:spacing w:val="-8"/>
          <w:sz w:val="22"/>
          <w:szCs w:val="22"/>
        </w:rPr>
        <w:t xml:space="preserve"> </w:t>
      </w:r>
      <w:r>
        <w:rPr>
          <w:sz w:val="22"/>
          <w:szCs w:val="22"/>
        </w:rPr>
        <w:t>obtained the</w:t>
      </w:r>
      <w:r>
        <w:rPr>
          <w:spacing w:val="-7"/>
          <w:sz w:val="22"/>
          <w:szCs w:val="22"/>
        </w:rPr>
        <w:t xml:space="preserve"> </w:t>
      </w:r>
      <w:r>
        <w:rPr>
          <w:sz w:val="22"/>
          <w:szCs w:val="22"/>
        </w:rPr>
        <w:t>authorization</w:t>
      </w:r>
      <w:r>
        <w:rPr>
          <w:spacing w:val="-9"/>
          <w:sz w:val="22"/>
          <w:szCs w:val="22"/>
        </w:rPr>
        <w:t xml:space="preserve"> </w:t>
      </w:r>
      <w:r>
        <w:rPr>
          <w:sz w:val="22"/>
          <w:szCs w:val="22"/>
        </w:rPr>
        <w:t>of</w:t>
      </w:r>
      <w:r>
        <w:rPr>
          <w:spacing w:val="-9"/>
          <w:sz w:val="22"/>
          <w:szCs w:val="22"/>
        </w:rPr>
        <w:t xml:space="preserve"> </w:t>
      </w:r>
      <w:r>
        <w:rPr>
          <w:sz w:val="22"/>
          <w:szCs w:val="22"/>
        </w:rPr>
        <w:t>the</w:t>
      </w:r>
      <w:r>
        <w:rPr>
          <w:spacing w:val="-8"/>
          <w:sz w:val="22"/>
          <w:szCs w:val="22"/>
        </w:rPr>
        <w:t xml:space="preserve"> </w:t>
      </w:r>
      <w:r>
        <w:rPr>
          <w:sz w:val="22"/>
          <w:szCs w:val="22"/>
        </w:rPr>
        <w:t>relevant</w:t>
      </w:r>
      <w:r>
        <w:rPr>
          <w:spacing w:val="-5"/>
          <w:sz w:val="22"/>
          <w:szCs w:val="22"/>
        </w:rPr>
        <w:t xml:space="preserve"> </w:t>
      </w:r>
      <w:r>
        <w:rPr>
          <w:sz w:val="22"/>
          <w:szCs w:val="22"/>
        </w:rPr>
        <w:t>Controller(s)</w:t>
      </w:r>
      <w:r>
        <w:rPr>
          <w:spacing w:val="-6"/>
          <w:sz w:val="22"/>
          <w:szCs w:val="22"/>
        </w:rPr>
        <w:t xml:space="preserve"> </w:t>
      </w:r>
      <w:r>
        <w:rPr>
          <w:sz w:val="22"/>
          <w:szCs w:val="22"/>
        </w:rPr>
        <w:t>to</w:t>
      </w:r>
      <w:r>
        <w:rPr>
          <w:spacing w:val="-6"/>
          <w:sz w:val="22"/>
          <w:szCs w:val="22"/>
        </w:rPr>
        <w:t xml:space="preserve"> </w:t>
      </w:r>
      <w:r>
        <w:rPr>
          <w:sz w:val="22"/>
          <w:szCs w:val="22"/>
        </w:rPr>
        <w:t>agree</w:t>
      </w:r>
      <w:r>
        <w:rPr>
          <w:spacing w:val="-8"/>
          <w:sz w:val="22"/>
          <w:szCs w:val="22"/>
        </w:rPr>
        <w:t xml:space="preserve"> </w:t>
      </w:r>
      <w:r>
        <w:rPr>
          <w:sz w:val="22"/>
          <w:szCs w:val="22"/>
        </w:rPr>
        <w:t>to</w:t>
      </w:r>
      <w:r>
        <w:rPr>
          <w:spacing w:val="-7"/>
          <w:sz w:val="22"/>
          <w:szCs w:val="22"/>
        </w:rPr>
        <w:t xml:space="preserve"> </w:t>
      </w:r>
      <w:r>
        <w:rPr>
          <w:sz w:val="22"/>
          <w:szCs w:val="22"/>
        </w:rPr>
        <w:t>the</w:t>
      </w:r>
      <w:r>
        <w:rPr>
          <w:spacing w:val="-6"/>
          <w:sz w:val="22"/>
          <w:szCs w:val="22"/>
        </w:rPr>
        <w:t xml:space="preserve"> </w:t>
      </w:r>
      <w:r>
        <w:rPr>
          <w:sz w:val="22"/>
          <w:szCs w:val="22"/>
        </w:rPr>
        <w:t>Processing</w:t>
      </w:r>
      <w:r>
        <w:rPr>
          <w:spacing w:val="-9"/>
          <w:sz w:val="22"/>
          <w:szCs w:val="22"/>
        </w:rPr>
        <w:t xml:space="preserve"> </w:t>
      </w:r>
      <w:r>
        <w:rPr>
          <w:sz w:val="22"/>
          <w:szCs w:val="22"/>
        </w:rPr>
        <w:t>of</w:t>
      </w:r>
      <w:r>
        <w:rPr>
          <w:spacing w:val="-6"/>
          <w:sz w:val="22"/>
          <w:szCs w:val="22"/>
        </w:rPr>
        <w:t xml:space="preserve"> </w:t>
      </w:r>
      <w:r>
        <w:rPr>
          <w:sz w:val="22"/>
          <w:szCs w:val="22"/>
        </w:rPr>
        <w:t>Customer</w:t>
      </w:r>
      <w:r>
        <w:rPr>
          <w:spacing w:val="-5"/>
          <w:sz w:val="22"/>
          <w:szCs w:val="22"/>
        </w:rPr>
        <w:t xml:space="preserve"> </w:t>
      </w:r>
      <w:r>
        <w:rPr>
          <w:sz w:val="22"/>
          <w:szCs w:val="22"/>
        </w:rPr>
        <w:t>Personal</w:t>
      </w:r>
      <w:r>
        <w:rPr>
          <w:spacing w:val="-6"/>
          <w:sz w:val="22"/>
          <w:szCs w:val="22"/>
        </w:rPr>
        <w:t xml:space="preserve"> </w:t>
      </w:r>
      <w:r>
        <w:rPr>
          <w:sz w:val="22"/>
          <w:szCs w:val="22"/>
        </w:rPr>
        <w:t>Data</w:t>
      </w:r>
      <w:r>
        <w:rPr>
          <w:spacing w:val="-8"/>
          <w:sz w:val="22"/>
          <w:szCs w:val="22"/>
        </w:rPr>
        <w:t xml:space="preserve"> </w:t>
      </w:r>
      <w:r>
        <w:rPr>
          <w:sz w:val="22"/>
          <w:szCs w:val="22"/>
        </w:rPr>
        <w:t>by</w:t>
      </w:r>
      <w:r>
        <w:rPr>
          <w:spacing w:val="-9"/>
          <w:sz w:val="22"/>
          <w:szCs w:val="22"/>
        </w:rPr>
        <w:t xml:space="preserve"> </w:t>
      </w:r>
      <w:r>
        <w:rPr>
          <w:sz w:val="22"/>
          <w:szCs w:val="22"/>
        </w:rPr>
        <w:t>DNAnexus</w:t>
      </w:r>
      <w:r>
        <w:rPr>
          <w:spacing w:val="-6"/>
          <w:sz w:val="22"/>
          <w:szCs w:val="22"/>
        </w:rPr>
        <w:t xml:space="preserve"> </w:t>
      </w:r>
      <w:r>
        <w:rPr>
          <w:sz w:val="22"/>
          <w:szCs w:val="22"/>
        </w:rPr>
        <w:t>as set</w:t>
      </w:r>
      <w:r>
        <w:rPr>
          <w:spacing w:val="-4"/>
          <w:sz w:val="22"/>
          <w:szCs w:val="22"/>
        </w:rPr>
        <w:t xml:space="preserve"> </w:t>
      </w:r>
      <w:r>
        <w:rPr>
          <w:sz w:val="22"/>
          <w:szCs w:val="22"/>
        </w:rPr>
        <w:t>out</w:t>
      </w:r>
      <w:r>
        <w:rPr>
          <w:spacing w:val="-3"/>
          <w:sz w:val="22"/>
          <w:szCs w:val="22"/>
        </w:rPr>
        <w:t xml:space="preserve"> </w:t>
      </w:r>
      <w:r>
        <w:rPr>
          <w:sz w:val="22"/>
          <w:szCs w:val="22"/>
        </w:rPr>
        <w:t>in</w:t>
      </w:r>
      <w:r>
        <w:rPr>
          <w:spacing w:val="-4"/>
          <w:sz w:val="22"/>
          <w:szCs w:val="22"/>
        </w:rPr>
        <w:t xml:space="preserve"> </w:t>
      </w:r>
      <w:r>
        <w:rPr>
          <w:sz w:val="22"/>
          <w:szCs w:val="22"/>
        </w:rPr>
        <w:t>this</w:t>
      </w:r>
      <w:r>
        <w:rPr>
          <w:spacing w:val="-3"/>
          <w:sz w:val="22"/>
          <w:szCs w:val="22"/>
        </w:rPr>
        <w:t xml:space="preserve"> </w:t>
      </w:r>
      <w:r>
        <w:rPr>
          <w:sz w:val="22"/>
          <w:szCs w:val="22"/>
        </w:rPr>
        <w:t>DPA.</w:t>
      </w:r>
      <w:r>
        <w:rPr>
          <w:spacing w:val="-5"/>
          <w:sz w:val="22"/>
          <w:szCs w:val="22"/>
        </w:rPr>
        <w:t xml:space="preserve"> </w:t>
      </w:r>
      <w:r>
        <w:rPr>
          <w:sz w:val="22"/>
          <w:szCs w:val="22"/>
        </w:rPr>
        <w:t>The</w:t>
      </w:r>
      <w:r>
        <w:rPr>
          <w:spacing w:val="-3"/>
          <w:sz w:val="22"/>
          <w:szCs w:val="22"/>
        </w:rPr>
        <w:t xml:space="preserve"> </w:t>
      </w:r>
      <w:r>
        <w:rPr>
          <w:sz w:val="22"/>
          <w:szCs w:val="22"/>
        </w:rPr>
        <w:t>Customer</w:t>
      </w:r>
      <w:r>
        <w:rPr>
          <w:spacing w:val="-3"/>
          <w:sz w:val="22"/>
          <w:szCs w:val="22"/>
        </w:rPr>
        <w:t xml:space="preserve"> </w:t>
      </w:r>
      <w:r>
        <w:rPr>
          <w:sz w:val="22"/>
          <w:szCs w:val="22"/>
        </w:rPr>
        <w:t>appoints</w:t>
      </w:r>
      <w:r>
        <w:rPr>
          <w:spacing w:val="-3"/>
          <w:sz w:val="22"/>
          <w:szCs w:val="22"/>
        </w:rPr>
        <w:t xml:space="preserve"> </w:t>
      </w:r>
      <w:r>
        <w:rPr>
          <w:sz w:val="22"/>
          <w:szCs w:val="22"/>
        </w:rPr>
        <w:t>DNAnexus</w:t>
      </w:r>
      <w:r>
        <w:rPr>
          <w:spacing w:val="-5"/>
          <w:sz w:val="22"/>
          <w:szCs w:val="22"/>
        </w:rPr>
        <w:t xml:space="preserve"> </w:t>
      </w:r>
      <w:r>
        <w:rPr>
          <w:sz w:val="22"/>
          <w:szCs w:val="22"/>
        </w:rPr>
        <w:t>as</w:t>
      </w:r>
      <w:r>
        <w:rPr>
          <w:spacing w:val="-3"/>
          <w:sz w:val="22"/>
          <w:szCs w:val="22"/>
        </w:rPr>
        <w:t xml:space="preserve"> </w:t>
      </w:r>
      <w:r>
        <w:rPr>
          <w:sz w:val="22"/>
          <w:szCs w:val="22"/>
        </w:rPr>
        <w:t>Processor</w:t>
      </w:r>
      <w:r>
        <w:rPr>
          <w:spacing w:val="-3"/>
          <w:sz w:val="22"/>
          <w:szCs w:val="22"/>
        </w:rPr>
        <w:t xml:space="preserve"> </w:t>
      </w:r>
      <w:r>
        <w:rPr>
          <w:sz w:val="22"/>
          <w:szCs w:val="22"/>
        </w:rPr>
        <w:t>to</w:t>
      </w:r>
      <w:r>
        <w:rPr>
          <w:spacing w:val="-2"/>
          <w:sz w:val="22"/>
          <w:szCs w:val="22"/>
        </w:rPr>
        <w:t xml:space="preserve"> </w:t>
      </w:r>
      <w:r>
        <w:rPr>
          <w:sz w:val="22"/>
          <w:szCs w:val="22"/>
        </w:rPr>
        <w:t>Process</w:t>
      </w:r>
      <w:r>
        <w:rPr>
          <w:spacing w:val="-3"/>
          <w:sz w:val="22"/>
          <w:szCs w:val="22"/>
        </w:rPr>
        <w:t xml:space="preserve"> </w:t>
      </w:r>
      <w:r>
        <w:rPr>
          <w:sz w:val="22"/>
          <w:szCs w:val="22"/>
        </w:rPr>
        <w:t>Customer</w:t>
      </w:r>
      <w:r>
        <w:rPr>
          <w:spacing w:val="-4"/>
          <w:sz w:val="22"/>
          <w:szCs w:val="22"/>
        </w:rPr>
        <w:t xml:space="preserve"> </w:t>
      </w:r>
      <w:r>
        <w:rPr>
          <w:sz w:val="22"/>
          <w:szCs w:val="22"/>
        </w:rPr>
        <w:t>Personal</w:t>
      </w:r>
      <w:r>
        <w:rPr>
          <w:spacing w:val="-3"/>
          <w:sz w:val="22"/>
          <w:szCs w:val="22"/>
        </w:rPr>
        <w:t xml:space="preserve"> </w:t>
      </w:r>
      <w:r>
        <w:rPr>
          <w:sz w:val="22"/>
          <w:szCs w:val="22"/>
        </w:rPr>
        <w:t>Data.</w:t>
      </w:r>
      <w:r>
        <w:rPr>
          <w:spacing w:val="-3"/>
          <w:sz w:val="22"/>
          <w:szCs w:val="22"/>
        </w:rPr>
        <w:t xml:space="preserve"> </w:t>
      </w:r>
      <w:r>
        <w:rPr>
          <w:sz w:val="22"/>
          <w:szCs w:val="22"/>
        </w:rPr>
        <w:t>If</w:t>
      </w:r>
      <w:r>
        <w:rPr>
          <w:spacing w:val="-3"/>
          <w:sz w:val="22"/>
          <w:szCs w:val="22"/>
        </w:rPr>
        <w:t xml:space="preserve"> </w:t>
      </w:r>
      <w:r>
        <w:rPr>
          <w:sz w:val="22"/>
          <w:szCs w:val="22"/>
        </w:rPr>
        <w:t>there</w:t>
      </w:r>
      <w:r>
        <w:rPr>
          <w:spacing w:val="-3"/>
          <w:sz w:val="22"/>
          <w:szCs w:val="22"/>
        </w:rPr>
        <w:t xml:space="preserve"> </w:t>
      </w:r>
      <w:r>
        <w:rPr>
          <w:sz w:val="22"/>
          <w:szCs w:val="22"/>
        </w:rPr>
        <w:t>are other</w:t>
      </w:r>
      <w:r>
        <w:rPr>
          <w:spacing w:val="-3"/>
          <w:sz w:val="22"/>
          <w:szCs w:val="22"/>
        </w:rPr>
        <w:t xml:space="preserve"> </w:t>
      </w:r>
      <w:r>
        <w:rPr>
          <w:sz w:val="22"/>
          <w:szCs w:val="22"/>
        </w:rPr>
        <w:t>Controllers,</w:t>
      </w:r>
      <w:r>
        <w:rPr>
          <w:spacing w:val="-1"/>
          <w:sz w:val="22"/>
          <w:szCs w:val="22"/>
        </w:rPr>
        <w:t xml:space="preserve"> </w:t>
      </w:r>
      <w:r>
        <w:rPr>
          <w:sz w:val="22"/>
          <w:szCs w:val="22"/>
        </w:rPr>
        <w:t>the</w:t>
      </w:r>
      <w:r>
        <w:rPr>
          <w:spacing w:val="-2"/>
          <w:sz w:val="22"/>
          <w:szCs w:val="22"/>
        </w:rPr>
        <w:t xml:space="preserve"> </w:t>
      </w:r>
      <w:r>
        <w:rPr>
          <w:sz w:val="22"/>
          <w:szCs w:val="22"/>
        </w:rPr>
        <w:t>Customer</w:t>
      </w:r>
      <w:r>
        <w:rPr>
          <w:spacing w:val="-1"/>
          <w:sz w:val="22"/>
          <w:szCs w:val="22"/>
        </w:rPr>
        <w:t xml:space="preserve"> </w:t>
      </w:r>
      <w:r>
        <w:rPr>
          <w:sz w:val="22"/>
          <w:szCs w:val="22"/>
        </w:rPr>
        <w:t>will</w:t>
      </w:r>
      <w:r>
        <w:rPr>
          <w:spacing w:val="-4"/>
          <w:sz w:val="22"/>
          <w:szCs w:val="22"/>
        </w:rPr>
        <w:t xml:space="preserve"> </w:t>
      </w:r>
      <w:r>
        <w:rPr>
          <w:sz w:val="22"/>
          <w:szCs w:val="22"/>
        </w:rPr>
        <w:t>identify</w:t>
      </w:r>
      <w:r>
        <w:rPr>
          <w:spacing w:val="-5"/>
          <w:sz w:val="22"/>
          <w:szCs w:val="22"/>
        </w:rPr>
        <w:t xml:space="preserve"> </w:t>
      </w:r>
      <w:r>
        <w:rPr>
          <w:sz w:val="22"/>
          <w:szCs w:val="22"/>
        </w:rPr>
        <w:t>and</w:t>
      </w:r>
      <w:r>
        <w:rPr>
          <w:spacing w:val="-4"/>
          <w:sz w:val="22"/>
          <w:szCs w:val="22"/>
        </w:rPr>
        <w:t xml:space="preserve"> </w:t>
      </w:r>
      <w:r>
        <w:rPr>
          <w:sz w:val="22"/>
          <w:szCs w:val="22"/>
        </w:rPr>
        <w:t>inform</w:t>
      </w:r>
      <w:r>
        <w:rPr>
          <w:spacing w:val="-6"/>
          <w:sz w:val="22"/>
          <w:szCs w:val="22"/>
        </w:rPr>
        <w:t xml:space="preserve"> </w:t>
      </w:r>
      <w:r>
        <w:rPr>
          <w:sz w:val="22"/>
          <w:szCs w:val="22"/>
        </w:rPr>
        <w:t>DNAnexus</w:t>
      </w:r>
      <w:r>
        <w:rPr>
          <w:spacing w:val="-2"/>
          <w:sz w:val="22"/>
          <w:szCs w:val="22"/>
        </w:rPr>
        <w:t xml:space="preserve"> </w:t>
      </w:r>
      <w:r>
        <w:rPr>
          <w:sz w:val="22"/>
          <w:szCs w:val="22"/>
        </w:rPr>
        <w:t>of</w:t>
      </w:r>
      <w:r>
        <w:rPr>
          <w:spacing w:val="-2"/>
          <w:sz w:val="22"/>
          <w:szCs w:val="22"/>
        </w:rPr>
        <w:t xml:space="preserve"> </w:t>
      </w:r>
      <w:r>
        <w:rPr>
          <w:sz w:val="22"/>
          <w:szCs w:val="22"/>
        </w:rPr>
        <w:t>any</w:t>
      </w:r>
      <w:r>
        <w:rPr>
          <w:spacing w:val="-5"/>
          <w:sz w:val="22"/>
          <w:szCs w:val="22"/>
        </w:rPr>
        <w:t xml:space="preserve"> </w:t>
      </w:r>
      <w:r>
        <w:rPr>
          <w:sz w:val="22"/>
          <w:szCs w:val="22"/>
        </w:rPr>
        <w:t>such</w:t>
      </w:r>
      <w:r>
        <w:rPr>
          <w:spacing w:val="-2"/>
          <w:sz w:val="22"/>
          <w:szCs w:val="22"/>
        </w:rPr>
        <w:t xml:space="preserve"> </w:t>
      </w:r>
      <w:r>
        <w:rPr>
          <w:sz w:val="22"/>
          <w:szCs w:val="22"/>
        </w:rPr>
        <w:t>other</w:t>
      </w:r>
      <w:r>
        <w:rPr>
          <w:spacing w:val="-3"/>
          <w:sz w:val="22"/>
          <w:szCs w:val="22"/>
        </w:rPr>
        <w:t xml:space="preserve"> </w:t>
      </w:r>
      <w:r>
        <w:rPr>
          <w:sz w:val="22"/>
          <w:szCs w:val="22"/>
        </w:rPr>
        <w:t>Controllers</w:t>
      </w:r>
      <w:r>
        <w:rPr>
          <w:spacing w:val="-4"/>
          <w:sz w:val="22"/>
          <w:szCs w:val="22"/>
        </w:rPr>
        <w:t xml:space="preserve"> </w:t>
      </w:r>
      <w:r>
        <w:rPr>
          <w:sz w:val="22"/>
          <w:szCs w:val="22"/>
        </w:rPr>
        <w:t>prior</w:t>
      </w:r>
      <w:r>
        <w:rPr>
          <w:spacing w:val="-4"/>
          <w:sz w:val="22"/>
          <w:szCs w:val="22"/>
        </w:rPr>
        <w:t xml:space="preserve"> </w:t>
      </w:r>
      <w:r>
        <w:rPr>
          <w:sz w:val="22"/>
          <w:szCs w:val="22"/>
        </w:rPr>
        <w:t>to</w:t>
      </w:r>
      <w:r>
        <w:rPr>
          <w:spacing w:val="-2"/>
          <w:sz w:val="22"/>
          <w:szCs w:val="22"/>
        </w:rPr>
        <w:t xml:space="preserve"> </w:t>
      </w:r>
      <w:r>
        <w:rPr>
          <w:sz w:val="22"/>
          <w:szCs w:val="22"/>
        </w:rPr>
        <w:t>providing their Personal Data, as set out in the DPA</w:t>
      </w:r>
      <w:r>
        <w:rPr>
          <w:spacing w:val="-5"/>
          <w:sz w:val="22"/>
          <w:szCs w:val="22"/>
        </w:rPr>
        <w:t xml:space="preserve"> </w:t>
      </w:r>
      <w:r>
        <w:rPr>
          <w:sz w:val="22"/>
          <w:szCs w:val="22"/>
        </w:rPr>
        <w:t>Exhibit.</w:t>
      </w:r>
    </w:p>
    <w:p w14:paraId="4E4AF74C" w14:textId="77777777" w:rsidR="005D7F64" w:rsidRDefault="005D7F64">
      <w:pPr>
        <w:pStyle w:val="ListParagraph"/>
        <w:numPr>
          <w:ilvl w:val="1"/>
          <w:numId w:val="1"/>
        </w:numPr>
        <w:tabs>
          <w:tab w:val="left" w:pos="829"/>
        </w:tabs>
        <w:kinsoku w:val="0"/>
        <w:overflowPunct w:val="0"/>
        <w:ind w:left="107" w:right="107" w:firstLine="0"/>
        <w:rPr>
          <w:sz w:val="22"/>
          <w:szCs w:val="22"/>
        </w:rPr>
      </w:pPr>
      <w:r>
        <w:rPr>
          <w:sz w:val="22"/>
          <w:szCs w:val="22"/>
        </w:rPr>
        <w:t>A list of categories of Data Subjects, types of Customer Personal Data, Special Categories of Personal Data and the Processing activities is set out in the applicable DPA Exhibit for a Service. The duration of the Processing corresponds</w:t>
      </w:r>
      <w:r>
        <w:rPr>
          <w:spacing w:val="-11"/>
          <w:sz w:val="22"/>
          <w:szCs w:val="22"/>
        </w:rPr>
        <w:t xml:space="preserve"> </w:t>
      </w:r>
      <w:r>
        <w:rPr>
          <w:sz w:val="22"/>
          <w:szCs w:val="22"/>
        </w:rPr>
        <w:t>to</w:t>
      </w:r>
      <w:r>
        <w:rPr>
          <w:spacing w:val="-12"/>
          <w:sz w:val="22"/>
          <w:szCs w:val="22"/>
        </w:rPr>
        <w:t xml:space="preserve"> </w:t>
      </w:r>
      <w:r>
        <w:rPr>
          <w:sz w:val="22"/>
          <w:szCs w:val="22"/>
        </w:rPr>
        <w:t>the</w:t>
      </w:r>
      <w:r>
        <w:rPr>
          <w:spacing w:val="-12"/>
          <w:sz w:val="22"/>
          <w:szCs w:val="22"/>
        </w:rPr>
        <w:t xml:space="preserve"> </w:t>
      </w:r>
      <w:r>
        <w:rPr>
          <w:sz w:val="22"/>
          <w:szCs w:val="22"/>
        </w:rPr>
        <w:t>duration</w:t>
      </w:r>
      <w:r>
        <w:rPr>
          <w:spacing w:val="-12"/>
          <w:sz w:val="22"/>
          <w:szCs w:val="22"/>
        </w:rPr>
        <w:t xml:space="preserve"> </w:t>
      </w:r>
      <w:r>
        <w:rPr>
          <w:sz w:val="22"/>
          <w:szCs w:val="22"/>
        </w:rPr>
        <w:t>of</w:t>
      </w:r>
      <w:r>
        <w:rPr>
          <w:spacing w:val="-11"/>
          <w:sz w:val="22"/>
          <w:szCs w:val="22"/>
        </w:rPr>
        <w:t xml:space="preserve"> </w:t>
      </w:r>
      <w:r>
        <w:rPr>
          <w:sz w:val="22"/>
          <w:szCs w:val="22"/>
        </w:rPr>
        <w:t>the</w:t>
      </w:r>
      <w:r>
        <w:rPr>
          <w:spacing w:val="-11"/>
          <w:sz w:val="22"/>
          <w:szCs w:val="22"/>
        </w:rPr>
        <w:t xml:space="preserve"> </w:t>
      </w:r>
      <w:r>
        <w:rPr>
          <w:sz w:val="22"/>
          <w:szCs w:val="22"/>
        </w:rPr>
        <w:t>Service,</w:t>
      </w:r>
      <w:r>
        <w:rPr>
          <w:spacing w:val="-11"/>
          <w:sz w:val="22"/>
          <w:szCs w:val="22"/>
        </w:rPr>
        <w:t xml:space="preserve"> </w:t>
      </w:r>
      <w:r>
        <w:rPr>
          <w:sz w:val="22"/>
          <w:szCs w:val="22"/>
        </w:rPr>
        <w:t>unless</w:t>
      </w:r>
      <w:r>
        <w:rPr>
          <w:spacing w:val="-10"/>
          <w:sz w:val="22"/>
          <w:szCs w:val="22"/>
        </w:rPr>
        <w:t xml:space="preserve"> </w:t>
      </w:r>
      <w:r>
        <w:rPr>
          <w:sz w:val="22"/>
          <w:szCs w:val="22"/>
        </w:rPr>
        <w:t>otherwise</w:t>
      </w:r>
      <w:r>
        <w:rPr>
          <w:spacing w:val="-10"/>
          <w:sz w:val="22"/>
          <w:szCs w:val="22"/>
        </w:rPr>
        <w:t xml:space="preserve"> </w:t>
      </w:r>
      <w:r>
        <w:rPr>
          <w:sz w:val="22"/>
          <w:szCs w:val="22"/>
        </w:rPr>
        <w:t>stated</w:t>
      </w:r>
      <w:r>
        <w:rPr>
          <w:spacing w:val="-11"/>
          <w:sz w:val="22"/>
          <w:szCs w:val="22"/>
        </w:rPr>
        <w:t xml:space="preserve"> </w:t>
      </w:r>
      <w:r>
        <w:rPr>
          <w:sz w:val="22"/>
          <w:szCs w:val="22"/>
        </w:rPr>
        <w:t>in</w:t>
      </w:r>
      <w:r>
        <w:rPr>
          <w:spacing w:val="-13"/>
          <w:sz w:val="22"/>
          <w:szCs w:val="22"/>
        </w:rPr>
        <w:t xml:space="preserve"> </w:t>
      </w:r>
      <w:r>
        <w:rPr>
          <w:sz w:val="22"/>
          <w:szCs w:val="22"/>
        </w:rPr>
        <w:t>the</w:t>
      </w:r>
      <w:r>
        <w:rPr>
          <w:spacing w:val="-11"/>
          <w:sz w:val="22"/>
          <w:szCs w:val="22"/>
        </w:rPr>
        <w:t xml:space="preserve"> </w:t>
      </w:r>
      <w:r>
        <w:rPr>
          <w:sz w:val="22"/>
          <w:szCs w:val="22"/>
        </w:rPr>
        <w:t>respective</w:t>
      </w:r>
      <w:r>
        <w:rPr>
          <w:spacing w:val="-11"/>
          <w:sz w:val="22"/>
          <w:szCs w:val="22"/>
        </w:rPr>
        <w:t xml:space="preserve"> </w:t>
      </w:r>
      <w:r>
        <w:rPr>
          <w:sz w:val="22"/>
          <w:szCs w:val="22"/>
        </w:rPr>
        <w:t>DPA</w:t>
      </w:r>
      <w:r>
        <w:rPr>
          <w:spacing w:val="-12"/>
          <w:sz w:val="22"/>
          <w:szCs w:val="22"/>
        </w:rPr>
        <w:t xml:space="preserve"> </w:t>
      </w:r>
      <w:r>
        <w:rPr>
          <w:sz w:val="22"/>
          <w:szCs w:val="22"/>
        </w:rPr>
        <w:t>Exhibit.</w:t>
      </w:r>
      <w:r>
        <w:rPr>
          <w:spacing w:val="-13"/>
          <w:sz w:val="22"/>
          <w:szCs w:val="22"/>
        </w:rPr>
        <w:t xml:space="preserve"> </w:t>
      </w:r>
      <w:r>
        <w:rPr>
          <w:sz w:val="22"/>
          <w:szCs w:val="22"/>
        </w:rPr>
        <w:t>The</w:t>
      </w:r>
      <w:r>
        <w:rPr>
          <w:spacing w:val="-11"/>
          <w:sz w:val="22"/>
          <w:szCs w:val="22"/>
        </w:rPr>
        <w:t xml:space="preserve"> </w:t>
      </w:r>
      <w:r>
        <w:rPr>
          <w:sz w:val="22"/>
          <w:szCs w:val="22"/>
        </w:rPr>
        <w:t>nature,</w:t>
      </w:r>
      <w:r>
        <w:rPr>
          <w:spacing w:val="-11"/>
          <w:sz w:val="22"/>
          <w:szCs w:val="22"/>
        </w:rPr>
        <w:t xml:space="preserve"> </w:t>
      </w:r>
      <w:r>
        <w:rPr>
          <w:sz w:val="22"/>
          <w:szCs w:val="22"/>
        </w:rPr>
        <w:t>purpose and subject matter of the Processing is the provision of the Service as described in the applicable</w:t>
      </w:r>
      <w:r>
        <w:rPr>
          <w:spacing w:val="-20"/>
          <w:sz w:val="22"/>
          <w:szCs w:val="22"/>
        </w:rPr>
        <w:t xml:space="preserve"> </w:t>
      </w:r>
      <w:r>
        <w:rPr>
          <w:sz w:val="22"/>
          <w:szCs w:val="22"/>
        </w:rPr>
        <w:t>TD.</w:t>
      </w:r>
    </w:p>
    <w:p w14:paraId="293C2267" w14:textId="474D5EF7" w:rsidR="005D7F64" w:rsidRPr="000A7417" w:rsidRDefault="00797BD8" w:rsidP="00262553">
      <w:pPr>
        <w:pStyle w:val="ListParagraph"/>
        <w:numPr>
          <w:ilvl w:val="1"/>
          <w:numId w:val="1"/>
        </w:numPr>
        <w:tabs>
          <w:tab w:val="left" w:pos="829"/>
        </w:tabs>
        <w:kinsoku w:val="0"/>
        <w:overflowPunct w:val="0"/>
        <w:spacing w:before="1"/>
        <w:ind w:left="107" w:right="103" w:firstLine="0"/>
      </w:pPr>
      <w:r w:rsidRPr="00386B82">
        <w:rPr>
          <w:sz w:val="22"/>
          <w:szCs w:val="22"/>
        </w:rPr>
        <w:t>DNAnexus shall</w:t>
      </w:r>
      <w:r w:rsidR="005D7F64" w:rsidRPr="00386B82">
        <w:rPr>
          <w:spacing w:val="-11"/>
          <w:sz w:val="22"/>
          <w:szCs w:val="22"/>
        </w:rPr>
        <w:t xml:space="preserve"> </w:t>
      </w:r>
      <w:r w:rsidR="005D7F64" w:rsidRPr="00386B82">
        <w:rPr>
          <w:sz w:val="22"/>
          <w:szCs w:val="22"/>
        </w:rPr>
        <w:t>Process</w:t>
      </w:r>
      <w:r w:rsidR="005D7F64" w:rsidRPr="00386B82">
        <w:rPr>
          <w:spacing w:val="-11"/>
          <w:sz w:val="22"/>
          <w:szCs w:val="22"/>
        </w:rPr>
        <w:t xml:space="preserve"> </w:t>
      </w:r>
      <w:r w:rsidR="005D7F64" w:rsidRPr="00386B82">
        <w:rPr>
          <w:sz w:val="22"/>
          <w:szCs w:val="22"/>
        </w:rPr>
        <w:t>Customer</w:t>
      </w:r>
      <w:r w:rsidR="005D7F64" w:rsidRPr="00386B82">
        <w:rPr>
          <w:spacing w:val="-12"/>
          <w:sz w:val="22"/>
          <w:szCs w:val="22"/>
        </w:rPr>
        <w:t xml:space="preserve"> </w:t>
      </w:r>
      <w:r w:rsidR="005D7F64" w:rsidRPr="00386B82">
        <w:rPr>
          <w:sz w:val="22"/>
          <w:szCs w:val="22"/>
        </w:rPr>
        <w:t>Personal</w:t>
      </w:r>
      <w:r w:rsidR="005D7F64" w:rsidRPr="00386B82">
        <w:rPr>
          <w:spacing w:val="-11"/>
          <w:sz w:val="22"/>
          <w:szCs w:val="22"/>
        </w:rPr>
        <w:t xml:space="preserve"> </w:t>
      </w:r>
      <w:r w:rsidR="005D7F64" w:rsidRPr="00386B82">
        <w:rPr>
          <w:sz w:val="22"/>
          <w:szCs w:val="22"/>
        </w:rPr>
        <w:t>Data</w:t>
      </w:r>
      <w:r w:rsidR="005D7F64" w:rsidRPr="00386B82">
        <w:rPr>
          <w:spacing w:val="-11"/>
          <w:sz w:val="22"/>
          <w:szCs w:val="22"/>
        </w:rPr>
        <w:t xml:space="preserve"> </w:t>
      </w:r>
      <w:r w:rsidR="005D7F64" w:rsidRPr="00386B82">
        <w:rPr>
          <w:sz w:val="22"/>
          <w:szCs w:val="22"/>
        </w:rPr>
        <w:t>according</w:t>
      </w:r>
      <w:r w:rsidR="005D7F64" w:rsidRPr="00386B82">
        <w:rPr>
          <w:spacing w:val="-14"/>
          <w:sz w:val="22"/>
          <w:szCs w:val="22"/>
        </w:rPr>
        <w:t xml:space="preserve"> </w:t>
      </w:r>
      <w:r w:rsidR="005D7F64" w:rsidRPr="00386B82">
        <w:rPr>
          <w:sz w:val="22"/>
          <w:szCs w:val="22"/>
        </w:rPr>
        <w:t>to</w:t>
      </w:r>
      <w:r w:rsidR="005D7F64" w:rsidRPr="00386B82">
        <w:rPr>
          <w:spacing w:val="-12"/>
          <w:sz w:val="22"/>
          <w:szCs w:val="22"/>
        </w:rPr>
        <w:t xml:space="preserve"> </w:t>
      </w:r>
      <w:r w:rsidR="005D7F64" w:rsidRPr="00386B82">
        <w:rPr>
          <w:sz w:val="22"/>
          <w:szCs w:val="22"/>
        </w:rPr>
        <w:t>the</w:t>
      </w:r>
      <w:r w:rsidR="005D7F64" w:rsidRPr="00386B82">
        <w:rPr>
          <w:spacing w:val="-13"/>
          <w:sz w:val="22"/>
          <w:szCs w:val="22"/>
        </w:rPr>
        <w:t xml:space="preserve"> </w:t>
      </w:r>
      <w:r w:rsidR="005D7F64" w:rsidRPr="00386B82">
        <w:rPr>
          <w:sz w:val="22"/>
          <w:szCs w:val="22"/>
        </w:rPr>
        <w:t>Customer’s</w:t>
      </w:r>
      <w:r w:rsidR="005D7F64" w:rsidRPr="00386B82">
        <w:rPr>
          <w:spacing w:val="-11"/>
          <w:sz w:val="22"/>
          <w:szCs w:val="22"/>
        </w:rPr>
        <w:t xml:space="preserve"> </w:t>
      </w:r>
      <w:r w:rsidR="005D7F64" w:rsidRPr="00386B82">
        <w:rPr>
          <w:sz w:val="22"/>
          <w:szCs w:val="22"/>
        </w:rPr>
        <w:t>written</w:t>
      </w:r>
      <w:r w:rsidR="005D7F64" w:rsidRPr="00386B82">
        <w:rPr>
          <w:spacing w:val="-11"/>
          <w:sz w:val="22"/>
          <w:szCs w:val="22"/>
        </w:rPr>
        <w:t xml:space="preserve"> </w:t>
      </w:r>
      <w:r w:rsidR="005D7F64" w:rsidRPr="00386B82">
        <w:rPr>
          <w:sz w:val="22"/>
          <w:szCs w:val="22"/>
        </w:rPr>
        <w:t>instructions.</w:t>
      </w:r>
      <w:r w:rsidR="005D7F64" w:rsidRPr="00386B82">
        <w:rPr>
          <w:spacing w:val="-14"/>
          <w:sz w:val="22"/>
          <w:szCs w:val="22"/>
        </w:rPr>
        <w:t xml:space="preserve"> </w:t>
      </w:r>
      <w:r w:rsidR="005D7F64" w:rsidRPr="00386B82">
        <w:rPr>
          <w:sz w:val="22"/>
          <w:szCs w:val="22"/>
        </w:rPr>
        <w:t>The</w:t>
      </w:r>
      <w:r w:rsidR="005D7F64" w:rsidRPr="00386B82">
        <w:rPr>
          <w:spacing w:val="-12"/>
          <w:sz w:val="22"/>
          <w:szCs w:val="22"/>
        </w:rPr>
        <w:t xml:space="preserve"> </w:t>
      </w:r>
      <w:r w:rsidR="005D7F64" w:rsidRPr="00386B82">
        <w:rPr>
          <w:sz w:val="22"/>
          <w:szCs w:val="22"/>
        </w:rPr>
        <w:t>scope of the Customer’s instructions for the Processing of Customer Personal Data is defined by the Agreement, this</w:t>
      </w:r>
      <w:r w:rsidR="005D7F64" w:rsidRPr="00386B82">
        <w:rPr>
          <w:spacing w:val="-9"/>
          <w:sz w:val="22"/>
          <w:szCs w:val="22"/>
        </w:rPr>
        <w:t xml:space="preserve"> </w:t>
      </w:r>
      <w:r w:rsidR="005D7F64" w:rsidRPr="00386B82">
        <w:rPr>
          <w:sz w:val="22"/>
          <w:szCs w:val="22"/>
        </w:rPr>
        <w:t>DPA</w:t>
      </w:r>
      <w:r w:rsidR="008937F2" w:rsidRPr="00386B82">
        <w:rPr>
          <w:sz w:val="22"/>
          <w:szCs w:val="22"/>
        </w:rPr>
        <w:t xml:space="preserve"> </w:t>
      </w:r>
      <w:r w:rsidR="005D7F64" w:rsidRPr="00262553">
        <w:rPr>
          <w:sz w:val="22"/>
        </w:rPr>
        <w:t xml:space="preserve">– including the applicable DPA Exhibit – and, if applicable, Customer’s and its </w:t>
      </w:r>
      <w:proofErr w:type="spellStart"/>
      <w:r w:rsidR="00FF4A7E">
        <w:rPr>
          <w:sz w:val="22"/>
          <w:szCs w:val="22"/>
        </w:rPr>
        <w:t>authorised</w:t>
      </w:r>
      <w:proofErr w:type="spellEnd"/>
      <w:r w:rsidR="005D7F64" w:rsidRPr="00262553">
        <w:rPr>
          <w:sz w:val="22"/>
        </w:rPr>
        <w:t xml:space="preserve"> users’ use and configuration of the features of the Service. The Customer may provide further instructions that are legally required (“</w:t>
      </w:r>
      <w:r w:rsidR="005D7F64" w:rsidRPr="00262553">
        <w:rPr>
          <w:b/>
          <w:sz w:val="22"/>
        </w:rPr>
        <w:t>Additional</w:t>
      </w:r>
      <w:r w:rsidR="005D7F64" w:rsidRPr="00262553">
        <w:rPr>
          <w:b/>
          <w:spacing w:val="-10"/>
          <w:sz w:val="22"/>
        </w:rPr>
        <w:t xml:space="preserve"> </w:t>
      </w:r>
      <w:r w:rsidR="005D7F64" w:rsidRPr="00262553">
        <w:rPr>
          <w:b/>
          <w:sz w:val="22"/>
        </w:rPr>
        <w:t>Instructions</w:t>
      </w:r>
      <w:r w:rsidR="005D7F64" w:rsidRPr="00262553">
        <w:rPr>
          <w:sz w:val="22"/>
        </w:rPr>
        <w:t>”).</w:t>
      </w:r>
      <w:r w:rsidR="005D7F64" w:rsidRPr="00262553">
        <w:rPr>
          <w:spacing w:val="-8"/>
          <w:sz w:val="22"/>
        </w:rPr>
        <w:t xml:space="preserve"> </w:t>
      </w:r>
      <w:r w:rsidR="005D7F64" w:rsidRPr="00262553">
        <w:rPr>
          <w:sz w:val="22"/>
        </w:rPr>
        <w:t>If</w:t>
      </w:r>
      <w:r w:rsidR="005D7F64" w:rsidRPr="00262553">
        <w:rPr>
          <w:spacing w:val="-6"/>
          <w:sz w:val="22"/>
        </w:rPr>
        <w:t xml:space="preserve"> </w:t>
      </w:r>
      <w:r w:rsidR="005D7F64" w:rsidRPr="00262553">
        <w:rPr>
          <w:sz w:val="22"/>
        </w:rPr>
        <w:t>DNAnexus</w:t>
      </w:r>
      <w:r w:rsidR="005D7F64" w:rsidRPr="00262553">
        <w:rPr>
          <w:spacing w:val="-7"/>
          <w:sz w:val="22"/>
        </w:rPr>
        <w:t xml:space="preserve"> </w:t>
      </w:r>
      <w:r w:rsidR="005D7F64" w:rsidRPr="00262553">
        <w:rPr>
          <w:sz w:val="22"/>
        </w:rPr>
        <w:t>believes</w:t>
      </w:r>
      <w:r w:rsidR="005D7F64" w:rsidRPr="00262553">
        <w:rPr>
          <w:spacing w:val="-7"/>
          <w:sz w:val="22"/>
        </w:rPr>
        <w:t xml:space="preserve"> </w:t>
      </w:r>
      <w:r w:rsidR="005D7F64" w:rsidRPr="00262553">
        <w:rPr>
          <w:sz w:val="22"/>
        </w:rPr>
        <w:t>an</w:t>
      </w:r>
      <w:r w:rsidR="005D7F64" w:rsidRPr="00262553">
        <w:rPr>
          <w:spacing w:val="-7"/>
          <w:sz w:val="22"/>
        </w:rPr>
        <w:t xml:space="preserve"> </w:t>
      </w:r>
      <w:r w:rsidR="005D7F64" w:rsidRPr="00262553">
        <w:rPr>
          <w:sz w:val="22"/>
        </w:rPr>
        <w:t>Additional</w:t>
      </w:r>
      <w:r w:rsidR="005D7F64" w:rsidRPr="00262553">
        <w:rPr>
          <w:spacing w:val="-7"/>
          <w:sz w:val="22"/>
        </w:rPr>
        <w:t xml:space="preserve"> </w:t>
      </w:r>
      <w:r w:rsidR="005D7F64" w:rsidRPr="00262553">
        <w:rPr>
          <w:sz w:val="22"/>
        </w:rPr>
        <w:t>Instruction</w:t>
      </w:r>
      <w:r w:rsidR="005D7F64" w:rsidRPr="00262553">
        <w:rPr>
          <w:spacing w:val="-8"/>
          <w:sz w:val="22"/>
        </w:rPr>
        <w:t xml:space="preserve"> </w:t>
      </w:r>
      <w:r w:rsidR="005D7F64" w:rsidRPr="00262553">
        <w:rPr>
          <w:sz w:val="22"/>
        </w:rPr>
        <w:t>violates</w:t>
      </w:r>
      <w:r w:rsidR="005D7F64" w:rsidRPr="00262553">
        <w:rPr>
          <w:spacing w:val="-9"/>
          <w:sz w:val="22"/>
        </w:rPr>
        <w:t xml:space="preserve"> </w:t>
      </w:r>
      <w:r w:rsidR="007528A5" w:rsidRPr="00262553">
        <w:rPr>
          <w:sz w:val="22"/>
        </w:rPr>
        <w:t>any</w:t>
      </w:r>
      <w:r w:rsidR="005D7F64" w:rsidRPr="00262553">
        <w:rPr>
          <w:spacing w:val="-9"/>
          <w:sz w:val="22"/>
        </w:rPr>
        <w:t xml:space="preserve"> </w:t>
      </w:r>
      <w:r w:rsidR="005D7F64" w:rsidRPr="00262553">
        <w:rPr>
          <w:sz w:val="22"/>
        </w:rPr>
        <w:t xml:space="preserve">applicable data protection laws or regulations, </w:t>
      </w:r>
      <w:r w:rsidRPr="00262553">
        <w:rPr>
          <w:sz w:val="22"/>
        </w:rPr>
        <w:t>DNAnexus shall</w:t>
      </w:r>
      <w:r w:rsidR="005D7F64" w:rsidRPr="00262553">
        <w:rPr>
          <w:sz w:val="22"/>
        </w:rPr>
        <w:t xml:space="preserve"> inform the Customer immediately and may suspend the performance of the Service until the Customer has modified or confirmed the lawfulness of the Additional Instructions in writing. If DNAnexus notifies the Customer that an Additional Instruction is not feasible or the Customer notifies DNAnexus that it does not accept the quote for the Additional Instruction prepared in accordance with Section 10.2 of this DPA, the Customer may terminate the affected Service by providing DNAnexus with a written notice within one month after notification. </w:t>
      </w:r>
      <w:r w:rsidRPr="00262553">
        <w:rPr>
          <w:sz w:val="22"/>
        </w:rPr>
        <w:t>DNAnexus shall</w:t>
      </w:r>
      <w:r w:rsidR="005D7F64" w:rsidRPr="00262553">
        <w:rPr>
          <w:sz w:val="22"/>
        </w:rPr>
        <w:t xml:space="preserve"> refund a prorated portion of any prepaid charges for the period after the termination</w:t>
      </w:r>
      <w:r w:rsidR="005D7F64" w:rsidRPr="00262553">
        <w:rPr>
          <w:spacing w:val="-10"/>
          <w:sz w:val="22"/>
        </w:rPr>
        <w:t xml:space="preserve"> </w:t>
      </w:r>
      <w:r w:rsidR="005D7F64" w:rsidRPr="00262553">
        <w:rPr>
          <w:sz w:val="22"/>
        </w:rPr>
        <w:t>date.</w:t>
      </w:r>
    </w:p>
    <w:p w14:paraId="03009E8A" w14:textId="660BEC69" w:rsidR="005D7F64" w:rsidRPr="00386B82" w:rsidRDefault="005D7F64">
      <w:pPr>
        <w:pStyle w:val="ListParagraph"/>
        <w:numPr>
          <w:ilvl w:val="1"/>
          <w:numId w:val="1"/>
        </w:numPr>
        <w:tabs>
          <w:tab w:val="left" w:pos="829"/>
        </w:tabs>
        <w:kinsoku w:val="0"/>
        <w:overflowPunct w:val="0"/>
        <w:spacing w:before="120"/>
        <w:ind w:left="107" w:right="102" w:firstLine="0"/>
        <w:rPr>
          <w:sz w:val="22"/>
          <w:szCs w:val="22"/>
        </w:rPr>
      </w:pPr>
      <w:r w:rsidRPr="00386B82">
        <w:rPr>
          <w:sz w:val="22"/>
          <w:szCs w:val="22"/>
        </w:rPr>
        <w:t xml:space="preserve">If DNAnexus cannot process Customer Personal Data in accordance with Customer’s instructions due to a legal requirement under any applicable European Union or Member State law, </w:t>
      </w:r>
      <w:r w:rsidR="00797BD8" w:rsidRPr="00386B82">
        <w:rPr>
          <w:sz w:val="22"/>
          <w:szCs w:val="22"/>
        </w:rPr>
        <w:t>DNAnexus shall</w:t>
      </w:r>
      <w:r w:rsidRPr="00386B82">
        <w:rPr>
          <w:sz w:val="22"/>
          <w:szCs w:val="22"/>
        </w:rPr>
        <w:t xml:space="preserve"> (</w:t>
      </w:r>
      <w:proofErr w:type="spellStart"/>
      <w:r w:rsidRPr="00386B82">
        <w:rPr>
          <w:sz w:val="22"/>
          <w:szCs w:val="22"/>
        </w:rPr>
        <w:t>i</w:t>
      </w:r>
      <w:proofErr w:type="spellEnd"/>
      <w:r w:rsidRPr="00386B82">
        <w:rPr>
          <w:sz w:val="22"/>
          <w:szCs w:val="22"/>
        </w:rPr>
        <w:t xml:space="preserve">) promptly notify the Customer of such inability, providing a reasonable level of detail as to the instructions with which it cannot comply and the reasons why it cannot comply, to the greatest extent permitted by applicable law; and (ii) cease all Processing of the affected Customer Personal Data (other than merely storing and maintaining the security of the affected Customer Personal Data) until such time as the Customer issues new instructions with which DNAnexus is able to comply. If this provision is invoked, </w:t>
      </w:r>
      <w:r w:rsidR="00797BD8" w:rsidRPr="00386B82">
        <w:rPr>
          <w:sz w:val="22"/>
          <w:szCs w:val="22"/>
        </w:rPr>
        <w:t>DNAnexus shall</w:t>
      </w:r>
      <w:r w:rsidRPr="00386B82">
        <w:rPr>
          <w:sz w:val="22"/>
          <w:szCs w:val="22"/>
        </w:rPr>
        <w:t xml:space="preserve"> not be liable to the Customer under the Agreement for failure to perform the Services until such time as the Customer issues new instructions that comply with applicable legal requirements.</w:t>
      </w:r>
    </w:p>
    <w:p w14:paraId="49CED4CC" w14:textId="72795A5F" w:rsidR="005D7F64" w:rsidRPr="00386B82" w:rsidRDefault="005D7F64">
      <w:pPr>
        <w:pStyle w:val="ListParagraph"/>
        <w:numPr>
          <w:ilvl w:val="1"/>
          <w:numId w:val="1"/>
        </w:numPr>
        <w:tabs>
          <w:tab w:val="left" w:pos="829"/>
        </w:tabs>
        <w:kinsoku w:val="0"/>
        <w:overflowPunct w:val="0"/>
        <w:ind w:left="107" w:right="102" w:firstLine="0"/>
        <w:rPr>
          <w:sz w:val="22"/>
          <w:szCs w:val="22"/>
        </w:rPr>
      </w:pPr>
      <w:r w:rsidRPr="00386B82">
        <w:rPr>
          <w:sz w:val="22"/>
          <w:szCs w:val="22"/>
        </w:rPr>
        <w:t>The Customer may serve as a single point of contact for DNAnexus. As other Controllers may have certain direct rights against DNAnexus, the Customer undertakes to exercise all such rights on their behalf and to obtain all necessary permissions for other Controllers. DNAnexus shall be discharged of its obligation to inform or notify another</w:t>
      </w:r>
      <w:r w:rsidRPr="00386B82">
        <w:rPr>
          <w:spacing w:val="-5"/>
          <w:sz w:val="22"/>
          <w:szCs w:val="22"/>
        </w:rPr>
        <w:t xml:space="preserve"> </w:t>
      </w:r>
      <w:r w:rsidRPr="00386B82">
        <w:rPr>
          <w:sz w:val="22"/>
          <w:szCs w:val="22"/>
        </w:rPr>
        <w:t>Controller</w:t>
      </w:r>
      <w:r w:rsidRPr="00386B82">
        <w:rPr>
          <w:spacing w:val="-4"/>
          <w:sz w:val="22"/>
          <w:szCs w:val="22"/>
        </w:rPr>
        <w:t xml:space="preserve"> </w:t>
      </w:r>
      <w:r w:rsidRPr="00386B82">
        <w:rPr>
          <w:sz w:val="22"/>
          <w:szCs w:val="22"/>
        </w:rPr>
        <w:t>when</w:t>
      </w:r>
      <w:r w:rsidRPr="00386B82">
        <w:rPr>
          <w:spacing w:val="-5"/>
          <w:sz w:val="22"/>
          <w:szCs w:val="22"/>
        </w:rPr>
        <w:t xml:space="preserve"> </w:t>
      </w:r>
      <w:r w:rsidRPr="00386B82">
        <w:rPr>
          <w:sz w:val="22"/>
          <w:szCs w:val="22"/>
        </w:rPr>
        <w:t>DNAnexus</w:t>
      </w:r>
      <w:r w:rsidRPr="00386B82">
        <w:rPr>
          <w:spacing w:val="-4"/>
          <w:sz w:val="22"/>
          <w:szCs w:val="22"/>
        </w:rPr>
        <w:t xml:space="preserve"> </w:t>
      </w:r>
      <w:r w:rsidRPr="00386B82">
        <w:rPr>
          <w:sz w:val="22"/>
          <w:szCs w:val="22"/>
        </w:rPr>
        <w:t>has</w:t>
      </w:r>
      <w:r w:rsidRPr="00386B82">
        <w:rPr>
          <w:spacing w:val="-6"/>
          <w:sz w:val="22"/>
          <w:szCs w:val="22"/>
        </w:rPr>
        <w:t xml:space="preserve"> </w:t>
      </w:r>
      <w:r w:rsidRPr="00386B82">
        <w:rPr>
          <w:sz w:val="22"/>
          <w:szCs w:val="22"/>
        </w:rPr>
        <w:t>provided</w:t>
      </w:r>
      <w:r w:rsidRPr="00386B82">
        <w:rPr>
          <w:spacing w:val="-5"/>
          <w:sz w:val="22"/>
          <w:szCs w:val="22"/>
        </w:rPr>
        <w:t xml:space="preserve"> </w:t>
      </w:r>
      <w:r w:rsidRPr="00386B82">
        <w:rPr>
          <w:sz w:val="22"/>
          <w:szCs w:val="22"/>
        </w:rPr>
        <w:t>such</w:t>
      </w:r>
      <w:r w:rsidRPr="00386B82">
        <w:rPr>
          <w:spacing w:val="-5"/>
          <w:sz w:val="22"/>
          <w:szCs w:val="22"/>
        </w:rPr>
        <w:t xml:space="preserve"> </w:t>
      </w:r>
      <w:r w:rsidRPr="00386B82">
        <w:rPr>
          <w:sz w:val="22"/>
          <w:szCs w:val="22"/>
        </w:rPr>
        <w:t>information</w:t>
      </w:r>
      <w:r w:rsidRPr="00386B82">
        <w:rPr>
          <w:spacing w:val="-5"/>
          <w:sz w:val="22"/>
          <w:szCs w:val="22"/>
        </w:rPr>
        <w:t xml:space="preserve"> </w:t>
      </w:r>
      <w:r w:rsidRPr="00386B82">
        <w:rPr>
          <w:sz w:val="22"/>
          <w:szCs w:val="22"/>
        </w:rPr>
        <w:t>or</w:t>
      </w:r>
      <w:r w:rsidRPr="00386B82">
        <w:rPr>
          <w:spacing w:val="-4"/>
          <w:sz w:val="22"/>
          <w:szCs w:val="22"/>
        </w:rPr>
        <w:t xml:space="preserve"> </w:t>
      </w:r>
      <w:r w:rsidRPr="00386B82">
        <w:rPr>
          <w:sz w:val="22"/>
          <w:szCs w:val="22"/>
        </w:rPr>
        <w:t>notice</w:t>
      </w:r>
      <w:r w:rsidRPr="00386B82">
        <w:rPr>
          <w:spacing w:val="-4"/>
          <w:sz w:val="22"/>
          <w:szCs w:val="22"/>
        </w:rPr>
        <w:t xml:space="preserve"> </w:t>
      </w:r>
      <w:r w:rsidRPr="00386B82">
        <w:rPr>
          <w:sz w:val="22"/>
          <w:szCs w:val="22"/>
        </w:rPr>
        <w:t>to</w:t>
      </w:r>
      <w:r w:rsidRPr="00386B82">
        <w:rPr>
          <w:spacing w:val="-7"/>
          <w:sz w:val="22"/>
          <w:szCs w:val="22"/>
        </w:rPr>
        <w:t xml:space="preserve"> </w:t>
      </w:r>
      <w:r w:rsidRPr="00386B82">
        <w:rPr>
          <w:sz w:val="22"/>
          <w:szCs w:val="22"/>
        </w:rPr>
        <w:t>the</w:t>
      </w:r>
      <w:r w:rsidRPr="00386B82">
        <w:rPr>
          <w:spacing w:val="-4"/>
          <w:sz w:val="22"/>
          <w:szCs w:val="22"/>
        </w:rPr>
        <w:t xml:space="preserve"> </w:t>
      </w:r>
      <w:r w:rsidRPr="00386B82">
        <w:rPr>
          <w:sz w:val="22"/>
          <w:szCs w:val="22"/>
        </w:rPr>
        <w:t>Customer.</w:t>
      </w:r>
      <w:r w:rsidRPr="00386B82">
        <w:rPr>
          <w:spacing w:val="-5"/>
          <w:sz w:val="22"/>
          <w:szCs w:val="22"/>
        </w:rPr>
        <w:t xml:space="preserve"> </w:t>
      </w:r>
      <w:r w:rsidRPr="00386B82">
        <w:rPr>
          <w:sz w:val="22"/>
          <w:szCs w:val="22"/>
        </w:rPr>
        <w:t>Similarly,</w:t>
      </w:r>
      <w:r w:rsidRPr="00386B82">
        <w:rPr>
          <w:spacing w:val="-5"/>
          <w:sz w:val="22"/>
          <w:szCs w:val="22"/>
        </w:rPr>
        <w:t xml:space="preserve"> </w:t>
      </w:r>
      <w:r w:rsidR="00797BD8" w:rsidRPr="00386B82">
        <w:rPr>
          <w:sz w:val="22"/>
          <w:szCs w:val="22"/>
        </w:rPr>
        <w:t>DNAnexus shall</w:t>
      </w:r>
      <w:r w:rsidRPr="00386B82">
        <w:rPr>
          <w:spacing w:val="-4"/>
          <w:sz w:val="22"/>
          <w:szCs w:val="22"/>
        </w:rPr>
        <w:t xml:space="preserve"> </w:t>
      </w:r>
      <w:r w:rsidRPr="00386B82">
        <w:rPr>
          <w:sz w:val="22"/>
          <w:szCs w:val="22"/>
        </w:rPr>
        <w:t>serve</w:t>
      </w:r>
      <w:r w:rsidRPr="00386B82">
        <w:rPr>
          <w:spacing w:val="-1"/>
          <w:sz w:val="22"/>
          <w:szCs w:val="22"/>
        </w:rPr>
        <w:t xml:space="preserve"> </w:t>
      </w:r>
      <w:r w:rsidRPr="00386B82">
        <w:rPr>
          <w:sz w:val="22"/>
          <w:szCs w:val="22"/>
        </w:rPr>
        <w:t>as</w:t>
      </w:r>
      <w:r w:rsidRPr="00386B82">
        <w:rPr>
          <w:spacing w:val="-4"/>
          <w:sz w:val="22"/>
          <w:szCs w:val="22"/>
        </w:rPr>
        <w:t xml:space="preserve"> </w:t>
      </w:r>
      <w:r w:rsidRPr="00386B82">
        <w:rPr>
          <w:sz w:val="22"/>
          <w:szCs w:val="22"/>
        </w:rPr>
        <w:t>a</w:t>
      </w:r>
      <w:r w:rsidRPr="00386B82">
        <w:rPr>
          <w:spacing w:val="-3"/>
          <w:sz w:val="22"/>
          <w:szCs w:val="22"/>
        </w:rPr>
        <w:t xml:space="preserve"> </w:t>
      </w:r>
      <w:r w:rsidRPr="00386B82">
        <w:rPr>
          <w:sz w:val="22"/>
          <w:szCs w:val="22"/>
        </w:rPr>
        <w:t>single</w:t>
      </w:r>
      <w:r w:rsidRPr="00386B82">
        <w:rPr>
          <w:spacing w:val="-1"/>
          <w:sz w:val="22"/>
          <w:szCs w:val="22"/>
        </w:rPr>
        <w:t xml:space="preserve"> </w:t>
      </w:r>
      <w:r w:rsidRPr="00386B82">
        <w:rPr>
          <w:sz w:val="22"/>
          <w:szCs w:val="22"/>
        </w:rPr>
        <w:t>point</w:t>
      </w:r>
      <w:r w:rsidRPr="00386B82">
        <w:rPr>
          <w:spacing w:val="-4"/>
          <w:sz w:val="22"/>
          <w:szCs w:val="22"/>
        </w:rPr>
        <w:t xml:space="preserve"> </w:t>
      </w:r>
      <w:r w:rsidRPr="00386B82">
        <w:rPr>
          <w:sz w:val="22"/>
          <w:szCs w:val="22"/>
        </w:rPr>
        <w:t>of</w:t>
      </w:r>
      <w:r w:rsidRPr="00386B82">
        <w:rPr>
          <w:spacing w:val="-1"/>
          <w:sz w:val="22"/>
          <w:szCs w:val="22"/>
        </w:rPr>
        <w:t xml:space="preserve"> </w:t>
      </w:r>
      <w:r w:rsidRPr="00386B82">
        <w:rPr>
          <w:sz w:val="22"/>
          <w:szCs w:val="22"/>
        </w:rPr>
        <w:t>contact</w:t>
      </w:r>
      <w:r w:rsidRPr="00386B82">
        <w:rPr>
          <w:spacing w:val="-3"/>
          <w:sz w:val="22"/>
          <w:szCs w:val="22"/>
        </w:rPr>
        <w:t xml:space="preserve"> </w:t>
      </w:r>
      <w:r w:rsidRPr="00386B82">
        <w:rPr>
          <w:sz w:val="22"/>
          <w:szCs w:val="22"/>
        </w:rPr>
        <w:t>for</w:t>
      </w:r>
      <w:r w:rsidRPr="00386B82">
        <w:rPr>
          <w:spacing w:val="-4"/>
          <w:sz w:val="22"/>
          <w:szCs w:val="22"/>
        </w:rPr>
        <w:t xml:space="preserve"> </w:t>
      </w:r>
      <w:r w:rsidRPr="00386B82">
        <w:rPr>
          <w:sz w:val="22"/>
          <w:szCs w:val="22"/>
        </w:rPr>
        <w:t>the</w:t>
      </w:r>
      <w:r w:rsidRPr="00386B82">
        <w:rPr>
          <w:spacing w:val="-3"/>
          <w:sz w:val="22"/>
          <w:szCs w:val="22"/>
        </w:rPr>
        <w:t xml:space="preserve"> </w:t>
      </w:r>
      <w:r w:rsidRPr="00386B82">
        <w:rPr>
          <w:sz w:val="22"/>
          <w:szCs w:val="22"/>
        </w:rPr>
        <w:t>Customer with</w:t>
      </w:r>
      <w:r w:rsidRPr="00386B82">
        <w:rPr>
          <w:spacing w:val="-5"/>
          <w:sz w:val="22"/>
          <w:szCs w:val="22"/>
        </w:rPr>
        <w:t xml:space="preserve"> </w:t>
      </w:r>
      <w:r w:rsidRPr="00386B82">
        <w:rPr>
          <w:sz w:val="22"/>
          <w:szCs w:val="22"/>
        </w:rPr>
        <w:t>respect</w:t>
      </w:r>
      <w:r w:rsidRPr="00386B82">
        <w:rPr>
          <w:spacing w:val="-2"/>
          <w:sz w:val="22"/>
          <w:szCs w:val="22"/>
        </w:rPr>
        <w:t xml:space="preserve"> </w:t>
      </w:r>
      <w:r w:rsidRPr="00386B82">
        <w:rPr>
          <w:sz w:val="22"/>
          <w:szCs w:val="22"/>
        </w:rPr>
        <w:t>to</w:t>
      </w:r>
      <w:r w:rsidRPr="00386B82">
        <w:rPr>
          <w:spacing w:val="-4"/>
          <w:sz w:val="22"/>
          <w:szCs w:val="22"/>
        </w:rPr>
        <w:t xml:space="preserve"> </w:t>
      </w:r>
      <w:r w:rsidRPr="00386B82">
        <w:rPr>
          <w:sz w:val="22"/>
          <w:szCs w:val="22"/>
        </w:rPr>
        <w:t>its</w:t>
      </w:r>
      <w:r w:rsidRPr="00386B82">
        <w:rPr>
          <w:spacing w:val="-4"/>
          <w:sz w:val="22"/>
          <w:szCs w:val="22"/>
        </w:rPr>
        <w:t xml:space="preserve"> </w:t>
      </w:r>
      <w:r w:rsidRPr="00386B82">
        <w:rPr>
          <w:sz w:val="22"/>
          <w:szCs w:val="22"/>
        </w:rPr>
        <w:t>obligations</w:t>
      </w:r>
      <w:r w:rsidRPr="00386B82">
        <w:rPr>
          <w:spacing w:val="-1"/>
          <w:sz w:val="22"/>
          <w:szCs w:val="22"/>
        </w:rPr>
        <w:t xml:space="preserve"> </w:t>
      </w:r>
      <w:r w:rsidRPr="00386B82">
        <w:rPr>
          <w:sz w:val="22"/>
          <w:szCs w:val="22"/>
        </w:rPr>
        <w:t>as</w:t>
      </w:r>
      <w:r w:rsidRPr="00386B82">
        <w:rPr>
          <w:spacing w:val="-1"/>
          <w:sz w:val="22"/>
          <w:szCs w:val="22"/>
        </w:rPr>
        <w:t xml:space="preserve"> </w:t>
      </w:r>
      <w:r w:rsidRPr="00386B82">
        <w:rPr>
          <w:sz w:val="22"/>
          <w:szCs w:val="22"/>
        </w:rPr>
        <w:t>a</w:t>
      </w:r>
      <w:r w:rsidRPr="00386B82">
        <w:rPr>
          <w:spacing w:val="-4"/>
          <w:sz w:val="22"/>
          <w:szCs w:val="22"/>
        </w:rPr>
        <w:t xml:space="preserve"> </w:t>
      </w:r>
      <w:r w:rsidRPr="00386B82">
        <w:rPr>
          <w:sz w:val="22"/>
          <w:szCs w:val="22"/>
        </w:rPr>
        <w:t>Processor</w:t>
      </w:r>
      <w:r w:rsidRPr="00386B82">
        <w:rPr>
          <w:spacing w:val="-2"/>
          <w:sz w:val="22"/>
          <w:szCs w:val="22"/>
        </w:rPr>
        <w:t xml:space="preserve"> </w:t>
      </w:r>
      <w:r w:rsidRPr="00386B82">
        <w:rPr>
          <w:sz w:val="22"/>
          <w:szCs w:val="22"/>
        </w:rPr>
        <w:t>under</w:t>
      </w:r>
      <w:r w:rsidRPr="00386B82">
        <w:rPr>
          <w:spacing w:val="-3"/>
          <w:sz w:val="22"/>
          <w:szCs w:val="22"/>
        </w:rPr>
        <w:t xml:space="preserve"> </w:t>
      </w:r>
      <w:r w:rsidRPr="00386B82">
        <w:rPr>
          <w:sz w:val="22"/>
          <w:szCs w:val="22"/>
        </w:rPr>
        <w:t>this</w:t>
      </w:r>
      <w:r w:rsidRPr="00386B82">
        <w:rPr>
          <w:spacing w:val="-4"/>
          <w:sz w:val="22"/>
          <w:szCs w:val="22"/>
        </w:rPr>
        <w:t xml:space="preserve"> </w:t>
      </w:r>
      <w:r w:rsidRPr="00386B82">
        <w:rPr>
          <w:sz w:val="22"/>
          <w:szCs w:val="22"/>
        </w:rPr>
        <w:t>DPA.</w:t>
      </w:r>
    </w:p>
    <w:p w14:paraId="70A69DA1" w14:textId="6CEDFD92" w:rsidR="005D7F64" w:rsidRPr="00262553" w:rsidRDefault="00797BD8" w:rsidP="00374669">
      <w:pPr>
        <w:pStyle w:val="ListParagraph"/>
        <w:rPr>
          <w:sz w:val="22"/>
        </w:rPr>
      </w:pPr>
      <w:r w:rsidRPr="00386B82">
        <w:rPr>
          <w:sz w:val="22"/>
          <w:szCs w:val="22"/>
        </w:rPr>
        <w:t>DNAnexus shall</w:t>
      </w:r>
      <w:r w:rsidR="005D7F64" w:rsidRPr="00262553">
        <w:rPr>
          <w:sz w:val="22"/>
        </w:rPr>
        <w:t xml:space="preserve"> comply with all EEA data protection laws and regulations (“</w:t>
      </w:r>
      <w:r w:rsidR="005D7F64" w:rsidRPr="00262553">
        <w:rPr>
          <w:b/>
          <w:sz w:val="22"/>
        </w:rPr>
        <w:t>Data Protection Laws</w:t>
      </w:r>
      <w:r w:rsidR="005D7F64" w:rsidRPr="00262553">
        <w:rPr>
          <w:sz w:val="22"/>
        </w:rPr>
        <w:t>”) in respect</w:t>
      </w:r>
      <w:r w:rsidR="005D7F64" w:rsidRPr="00262553">
        <w:rPr>
          <w:spacing w:val="8"/>
          <w:sz w:val="22"/>
        </w:rPr>
        <w:t xml:space="preserve"> </w:t>
      </w:r>
      <w:r w:rsidR="005D7F64" w:rsidRPr="00262553">
        <w:rPr>
          <w:sz w:val="22"/>
        </w:rPr>
        <w:t>to</w:t>
      </w:r>
      <w:r w:rsidR="005D7F64" w:rsidRPr="00262553">
        <w:rPr>
          <w:spacing w:val="7"/>
          <w:sz w:val="22"/>
        </w:rPr>
        <w:t xml:space="preserve"> </w:t>
      </w:r>
      <w:r w:rsidR="005D7F64" w:rsidRPr="00262553">
        <w:rPr>
          <w:sz w:val="22"/>
        </w:rPr>
        <w:t>the</w:t>
      </w:r>
      <w:r w:rsidR="005D7F64" w:rsidRPr="00262553">
        <w:rPr>
          <w:spacing w:val="10"/>
          <w:sz w:val="22"/>
        </w:rPr>
        <w:t xml:space="preserve"> </w:t>
      </w:r>
      <w:r w:rsidR="005D7F64" w:rsidRPr="00262553">
        <w:rPr>
          <w:sz w:val="22"/>
        </w:rPr>
        <w:t>Services</w:t>
      </w:r>
      <w:r w:rsidR="005D7F64" w:rsidRPr="00262553">
        <w:rPr>
          <w:spacing w:val="10"/>
          <w:sz w:val="22"/>
        </w:rPr>
        <w:t xml:space="preserve"> </w:t>
      </w:r>
      <w:r w:rsidR="005D7F64" w:rsidRPr="00262553">
        <w:rPr>
          <w:sz w:val="22"/>
        </w:rPr>
        <w:t>applicable</w:t>
      </w:r>
      <w:r w:rsidR="005D7F64" w:rsidRPr="00262553">
        <w:rPr>
          <w:spacing w:val="7"/>
          <w:sz w:val="22"/>
        </w:rPr>
        <w:t xml:space="preserve"> </w:t>
      </w:r>
      <w:r w:rsidR="005D7F64" w:rsidRPr="00262553">
        <w:rPr>
          <w:sz w:val="22"/>
        </w:rPr>
        <w:t>to</w:t>
      </w:r>
      <w:r w:rsidR="005D7F64" w:rsidRPr="00262553">
        <w:rPr>
          <w:spacing w:val="10"/>
          <w:sz w:val="22"/>
        </w:rPr>
        <w:t xml:space="preserve"> </w:t>
      </w:r>
      <w:r w:rsidR="005D7F64" w:rsidRPr="00262553">
        <w:rPr>
          <w:sz w:val="22"/>
        </w:rPr>
        <w:t>Processors.</w:t>
      </w:r>
      <w:r w:rsidR="005D7F64" w:rsidRPr="00262553">
        <w:rPr>
          <w:spacing w:val="10"/>
          <w:sz w:val="22"/>
        </w:rPr>
        <w:t xml:space="preserve"> </w:t>
      </w:r>
      <w:r w:rsidR="005D7F64" w:rsidRPr="00262553">
        <w:rPr>
          <w:sz w:val="22"/>
        </w:rPr>
        <w:t>DNAnexus</w:t>
      </w:r>
      <w:r w:rsidR="005D7F64" w:rsidRPr="00262553">
        <w:rPr>
          <w:spacing w:val="8"/>
          <w:sz w:val="22"/>
        </w:rPr>
        <w:t xml:space="preserve"> </w:t>
      </w:r>
      <w:r w:rsidR="005D7F64" w:rsidRPr="00262553">
        <w:rPr>
          <w:sz w:val="22"/>
        </w:rPr>
        <w:t>is</w:t>
      </w:r>
      <w:r w:rsidR="005D7F64" w:rsidRPr="00262553">
        <w:rPr>
          <w:spacing w:val="10"/>
          <w:sz w:val="22"/>
        </w:rPr>
        <w:t xml:space="preserve"> </w:t>
      </w:r>
      <w:r w:rsidR="005D7F64" w:rsidRPr="00262553">
        <w:rPr>
          <w:sz w:val="22"/>
        </w:rPr>
        <w:t>not</w:t>
      </w:r>
      <w:r w:rsidR="005D7F64" w:rsidRPr="00262553">
        <w:rPr>
          <w:spacing w:val="8"/>
          <w:sz w:val="22"/>
        </w:rPr>
        <w:t xml:space="preserve"> </w:t>
      </w:r>
      <w:r w:rsidR="005D7F64" w:rsidRPr="00262553">
        <w:rPr>
          <w:sz w:val="22"/>
        </w:rPr>
        <w:t>responsible</w:t>
      </w:r>
      <w:r w:rsidR="005D7F64" w:rsidRPr="00262553">
        <w:rPr>
          <w:spacing w:val="10"/>
          <w:sz w:val="22"/>
        </w:rPr>
        <w:t xml:space="preserve"> </w:t>
      </w:r>
      <w:r w:rsidR="005D7F64" w:rsidRPr="00262553">
        <w:rPr>
          <w:sz w:val="22"/>
        </w:rPr>
        <w:t>for</w:t>
      </w:r>
      <w:r w:rsidR="005D7F64" w:rsidRPr="00262553">
        <w:rPr>
          <w:spacing w:val="10"/>
          <w:sz w:val="22"/>
        </w:rPr>
        <w:t xml:space="preserve"> </w:t>
      </w:r>
      <w:r w:rsidR="005D7F64" w:rsidRPr="00262553">
        <w:rPr>
          <w:sz w:val="22"/>
        </w:rPr>
        <w:t>determining</w:t>
      </w:r>
      <w:r w:rsidR="005D7F64" w:rsidRPr="00262553">
        <w:rPr>
          <w:spacing w:val="8"/>
          <w:sz w:val="22"/>
        </w:rPr>
        <w:t xml:space="preserve"> </w:t>
      </w:r>
      <w:r w:rsidR="005D7F64" w:rsidRPr="00262553">
        <w:rPr>
          <w:sz w:val="22"/>
        </w:rPr>
        <w:t>the</w:t>
      </w:r>
      <w:r w:rsidR="005D7F64" w:rsidRPr="00262553">
        <w:rPr>
          <w:spacing w:val="10"/>
          <w:sz w:val="22"/>
        </w:rPr>
        <w:t xml:space="preserve"> </w:t>
      </w:r>
      <w:r w:rsidR="005D7F64" w:rsidRPr="00262553">
        <w:rPr>
          <w:sz w:val="22"/>
        </w:rPr>
        <w:t>requirements</w:t>
      </w:r>
      <w:r w:rsidR="005D7F64" w:rsidRPr="00262553">
        <w:rPr>
          <w:spacing w:val="8"/>
          <w:sz w:val="22"/>
        </w:rPr>
        <w:t xml:space="preserve"> </w:t>
      </w:r>
      <w:r w:rsidR="005D7F64" w:rsidRPr="00262553">
        <w:rPr>
          <w:sz w:val="22"/>
        </w:rPr>
        <w:t>o</w:t>
      </w:r>
      <w:r w:rsidR="007528A5" w:rsidRPr="00262553">
        <w:rPr>
          <w:sz w:val="22"/>
        </w:rPr>
        <w:t xml:space="preserve">f </w:t>
      </w:r>
      <w:proofErr w:type="gramStart"/>
      <w:r w:rsidR="007528A5" w:rsidRPr="00262553">
        <w:rPr>
          <w:sz w:val="22"/>
        </w:rPr>
        <w:t xml:space="preserve">laws </w:t>
      </w:r>
      <w:r w:rsidR="005D7F64" w:rsidRPr="00262553">
        <w:rPr>
          <w:sz w:val="22"/>
        </w:rPr>
        <w:t xml:space="preserve"> applicable</w:t>
      </w:r>
      <w:proofErr w:type="gramEnd"/>
      <w:r w:rsidR="005D7F64" w:rsidRPr="00262553">
        <w:rPr>
          <w:sz w:val="22"/>
        </w:rPr>
        <w:t xml:space="preserve"> to the Customer’s business or that DNAnexus’ provision of Services </w:t>
      </w:r>
      <w:r w:rsidRPr="00262553">
        <w:rPr>
          <w:sz w:val="22"/>
        </w:rPr>
        <w:t>meets</w:t>
      </w:r>
      <w:r w:rsidR="005D7F64" w:rsidRPr="00262553">
        <w:rPr>
          <w:sz w:val="22"/>
        </w:rPr>
        <w:t xml:space="preserve"> the requirements of such laws. As between the parties, the Customer is responsible for the lawfulness of the Processing of the Customer Personal Data. The Customer will not use the Services in conjunction with Personal Data to the extent that doing so would violate applicable Data Protection Laws.</w:t>
      </w:r>
    </w:p>
    <w:p w14:paraId="42FA166F" w14:textId="77777777" w:rsidR="005D7F64" w:rsidRDefault="005D7F64">
      <w:pPr>
        <w:pStyle w:val="BodyText"/>
        <w:kinsoku w:val="0"/>
        <w:overflowPunct w:val="0"/>
        <w:spacing w:before="9"/>
        <w:ind w:left="0"/>
        <w:jc w:val="left"/>
        <w:rPr>
          <w:sz w:val="20"/>
          <w:szCs w:val="20"/>
        </w:rPr>
      </w:pPr>
    </w:p>
    <w:p w14:paraId="0F3B7E5D" w14:textId="77777777" w:rsidR="005D7F64" w:rsidRDefault="005D7F64">
      <w:pPr>
        <w:pStyle w:val="Heading1"/>
        <w:numPr>
          <w:ilvl w:val="0"/>
          <w:numId w:val="1"/>
        </w:numPr>
        <w:tabs>
          <w:tab w:val="left" w:pos="829"/>
        </w:tabs>
        <w:kinsoku w:val="0"/>
        <w:overflowPunct w:val="0"/>
        <w:ind w:hanging="722"/>
      </w:pPr>
      <w:r>
        <w:t>TECHNICAL AND ORGANIZATIONAL</w:t>
      </w:r>
      <w:r>
        <w:rPr>
          <w:spacing w:val="-4"/>
        </w:rPr>
        <w:t xml:space="preserve"> </w:t>
      </w:r>
      <w:r>
        <w:t>MEASURES</w:t>
      </w:r>
    </w:p>
    <w:p w14:paraId="786B67AF" w14:textId="5C746A6A" w:rsidR="005D7F64" w:rsidRDefault="00797BD8">
      <w:pPr>
        <w:pStyle w:val="ListParagraph"/>
        <w:numPr>
          <w:ilvl w:val="1"/>
          <w:numId w:val="1"/>
        </w:numPr>
        <w:tabs>
          <w:tab w:val="left" w:pos="1549"/>
        </w:tabs>
        <w:kinsoku w:val="0"/>
        <w:overflowPunct w:val="0"/>
        <w:ind w:left="199" w:right="108" w:firstLine="720"/>
        <w:rPr>
          <w:sz w:val="22"/>
          <w:szCs w:val="22"/>
        </w:rPr>
      </w:pPr>
      <w:r>
        <w:rPr>
          <w:sz w:val="22"/>
          <w:szCs w:val="22"/>
        </w:rPr>
        <w:t>DNAnexus shall</w:t>
      </w:r>
      <w:r w:rsidR="005D7F64">
        <w:rPr>
          <w:sz w:val="22"/>
          <w:szCs w:val="22"/>
        </w:rPr>
        <w:t xml:space="preserve"> implement and maintain technical and organizational measures set forth in</w:t>
      </w:r>
      <w:r w:rsidR="00B37206">
        <w:rPr>
          <w:sz w:val="22"/>
          <w:szCs w:val="22"/>
        </w:rPr>
        <w:t xml:space="preserve"> Annex II </w:t>
      </w:r>
      <w:r w:rsidR="005D7F64">
        <w:rPr>
          <w:sz w:val="22"/>
          <w:szCs w:val="22"/>
        </w:rPr>
        <w:t>(“TOMs”) to ensure a level of security appropriate to the risk for DNAnexus’ scope of responsibility. TOMs are subject to technical progress and further development. Accordingly, DNAnexus reserves the right to modify the TOMs provided the functionality and security of the Services are not</w:t>
      </w:r>
      <w:r w:rsidR="005D7F64">
        <w:rPr>
          <w:spacing w:val="-21"/>
          <w:sz w:val="22"/>
          <w:szCs w:val="22"/>
        </w:rPr>
        <w:t xml:space="preserve"> </w:t>
      </w:r>
      <w:r w:rsidR="005D7F64">
        <w:rPr>
          <w:sz w:val="22"/>
          <w:szCs w:val="22"/>
        </w:rPr>
        <w:t>degraded.</w:t>
      </w:r>
    </w:p>
    <w:p w14:paraId="4B75A3BA" w14:textId="77777777" w:rsidR="005D7F64" w:rsidRDefault="005D7F64">
      <w:pPr>
        <w:pStyle w:val="ListParagraph"/>
        <w:numPr>
          <w:ilvl w:val="1"/>
          <w:numId w:val="1"/>
        </w:numPr>
        <w:tabs>
          <w:tab w:val="left" w:pos="1549"/>
        </w:tabs>
        <w:kinsoku w:val="0"/>
        <w:overflowPunct w:val="0"/>
        <w:spacing w:before="119"/>
        <w:ind w:left="199" w:right="239" w:firstLine="720"/>
        <w:jc w:val="left"/>
        <w:rPr>
          <w:sz w:val="22"/>
          <w:szCs w:val="22"/>
        </w:rPr>
      </w:pPr>
      <w:r>
        <w:rPr>
          <w:sz w:val="22"/>
          <w:szCs w:val="22"/>
        </w:rPr>
        <w:t>Customer is solely responsible for reviewing the TOMs and agreeing that they meet Customer’s requirements and obligations The Customer confirms the TOMs provide an appropriate level of protection for</w:t>
      </w:r>
      <w:r>
        <w:rPr>
          <w:spacing w:val="-37"/>
          <w:sz w:val="22"/>
          <w:szCs w:val="22"/>
        </w:rPr>
        <w:t xml:space="preserve"> </w:t>
      </w:r>
      <w:r>
        <w:rPr>
          <w:sz w:val="22"/>
          <w:szCs w:val="22"/>
        </w:rPr>
        <w:t xml:space="preserve">the Customer Personal Data </w:t>
      </w:r>
      <w:proofErr w:type="gramStart"/>
      <w:r>
        <w:rPr>
          <w:sz w:val="22"/>
          <w:szCs w:val="22"/>
        </w:rPr>
        <w:t>taking into account</w:t>
      </w:r>
      <w:proofErr w:type="gramEnd"/>
      <w:r>
        <w:rPr>
          <w:sz w:val="22"/>
          <w:szCs w:val="22"/>
        </w:rPr>
        <w:t xml:space="preserve"> the risks associated with the Processing of Customer Personal</w:t>
      </w:r>
      <w:r>
        <w:rPr>
          <w:spacing w:val="-29"/>
          <w:sz w:val="22"/>
          <w:szCs w:val="22"/>
        </w:rPr>
        <w:t xml:space="preserve"> </w:t>
      </w:r>
      <w:r>
        <w:rPr>
          <w:sz w:val="22"/>
          <w:szCs w:val="22"/>
        </w:rPr>
        <w:t>Data.</w:t>
      </w:r>
    </w:p>
    <w:p w14:paraId="7B16F9D9" w14:textId="77777777" w:rsidR="00684F18" w:rsidRPr="00374669" w:rsidRDefault="00684F18" w:rsidP="00684F18">
      <w:pPr>
        <w:pStyle w:val="ListParagraph"/>
        <w:numPr>
          <w:ilvl w:val="0"/>
          <w:numId w:val="1"/>
        </w:numPr>
        <w:tabs>
          <w:tab w:val="left" w:pos="900"/>
          <w:tab w:val="left" w:pos="1549"/>
        </w:tabs>
        <w:kinsoku w:val="0"/>
        <w:overflowPunct w:val="0"/>
        <w:spacing w:before="119"/>
        <w:ind w:left="900" w:right="239" w:hanging="810"/>
        <w:jc w:val="left"/>
        <w:rPr>
          <w:sz w:val="22"/>
          <w:szCs w:val="22"/>
        </w:rPr>
      </w:pPr>
      <w:r>
        <w:rPr>
          <w:b/>
          <w:bCs/>
          <w:sz w:val="22"/>
          <w:szCs w:val="22"/>
        </w:rPr>
        <w:t>ROLES AND SCOPE OF PROCESSING</w:t>
      </w:r>
    </w:p>
    <w:p w14:paraId="3B7BED86" w14:textId="77777777" w:rsidR="00020F31" w:rsidRPr="00374669" w:rsidRDefault="00684F18" w:rsidP="00374669">
      <w:pPr>
        <w:pStyle w:val="BodyText"/>
        <w:numPr>
          <w:ilvl w:val="1"/>
          <w:numId w:val="1"/>
        </w:numPr>
        <w:ind w:left="1440" w:hanging="540"/>
      </w:pPr>
      <w:bookmarkStart w:id="0" w:name="_Ref98415912"/>
      <w:r w:rsidRPr="00374669">
        <w:rPr>
          <w:u w:val="single"/>
        </w:rPr>
        <w:lastRenderedPageBreak/>
        <w:t>Roles of the Parties</w:t>
      </w:r>
      <w:r w:rsidR="00020F31">
        <w:t xml:space="preserve">: As between DNAnexus and the </w:t>
      </w:r>
      <w:r w:rsidR="00AD6315">
        <w:t>Customer</w:t>
      </w:r>
      <w:r w:rsidR="00020F31">
        <w:t xml:space="preserve">, DNAnexus shall Process </w:t>
      </w:r>
      <w:r w:rsidR="00AD6315">
        <w:t>Customer Personal Data only as a Data Processor (or sub-processor) acting on behalf of Customer and, with respect to CCPA, as a “service provider” as defined herein, in each case regardless of whether Customer acts as a Data Controller or as a Data Processor on behalf of a third-party Data Controller (“</w:t>
      </w:r>
      <w:r w:rsidR="00AD6315">
        <w:rPr>
          <w:b/>
          <w:bCs/>
        </w:rPr>
        <w:t>Third-Party Controller</w:t>
      </w:r>
      <w:r w:rsidR="00AD6315">
        <w:t xml:space="preserve">”) with respect to Customer Personal Data. To the extent any Usage Data (as defined in the </w:t>
      </w:r>
      <w:r w:rsidR="006A25E1">
        <w:t>Master Subscription Agreement</w:t>
      </w:r>
      <w:r w:rsidR="00AD6315">
        <w:t xml:space="preserve">) is considered Personal Data under applicable Data Protection Laws, DNAnexus is the Data Controller of such data and shall Process such data in accordance with the </w:t>
      </w:r>
      <w:r w:rsidR="006A25E1">
        <w:t>Master Subscription Agreement</w:t>
      </w:r>
      <w:r w:rsidR="00AD6315">
        <w:t xml:space="preserve"> and applicable Data Protection Laws.</w:t>
      </w:r>
      <w:bookmarkEnd w:id="0"/>
    </w:p>
    <w:p w14:paraId="1C53F28B" w14:textId="65CEE885" w:rsidR="00684F18" w:rsidRPr="00374669" w:rsidRDefault="00684F18" w:rsidP="00374669">
      <w:pPr>
        <w:pStyle w:val="BodyText"/>
        <w:numPr>
          <w:ilvl w:val="1"/>
          <w:numId w:val="1"/>
        </w:numPr>
        <w:ind w:left="1440" w:hanging="540"/>
      </w:pPr>
      <w:r w:rsidRPr="00374669">
        <w:rPr>
          <w:u w:val="single"/>
        </w:rPr>
        <w:t>Customer Instructions</w:t>
      </w:r>
      <w:r w:rsidR="005513C3" w:rsidRPr="00374669">
        <w:rPr>
          <w:u w:val="single"/>
        </w:rPr>
        <w:t>:</w:t>
      </w:r>
      <w:r w:rsidR="005513C3">
        <w:t xml:space="preserve"> </w:t>
      </w:r>
      <w:r w:rsidR="00797BD8">
        <w:t>DNAnexus shall</w:t>
      </w:r>
      <w:r w:rsidR="005513C3">
        <w:t xml:space="preserve"> Process Customer Personal Data only for the purposes described in the </w:t>
      </w:r>
      <w:r w:rsidR="006A25E1">
        <w:t>Master Subscription Agreement</w:t>
      </w:r>
      <w:r w:rsidR="005513C3">
        <w:t xml:space="preserve">. Customer shall ensure its Processing instructions are lawful and that the Processing of Customer Personal Data in accordance with such instructions will not violate applicable Data Protection Laws. The Parties agree that the </w:t>
      </w:r>
      <w:r w:rsidR="006A25E1">
        <w:t>Master Subscription Agreement</w:t>
      </w:r>
      <w:r w:rsidR="005513C3">
        <w:t xml:space="preserve"> (including this DPA) sets out exclusive and final instructions to DNAnexus for all Processing of Customer Personal Data, and (if applicable) include and are consistent with all instructions from Third-Party Controllers. Any additional requested instructions </w:t>
      </w:r>
      <w:r w:rsidR="00DD3958">
        <w:t>require</w:t>
      </w:r>
      <w:r w:rsidR="005513C3">
        <w:t xml:space="preserve"> the prior written agreement of DNAnexus. DNAnexus shall promptly notify Customer if, in DNAnexus’ opinion, such an instruction violates EU &amp; UK Data Protection Law. Where applicable, Customer shall be responsible for any communications, notifications, assistance and/or authorizations that may be required in connection with a Third-Party Controller.</w:t>
      </w:r>
    </w:p>
    <w:p w14:paraId="5B8C6F33" w14:textId="79234DDB" w:rsidR="00684F18" w:rsidRDefault="00684F18" w:rsidP="00C209FF">
      <w:pPr>
        <w:pStyle w:val="BodyText"/>
        <w:numPr>
          <w:ilvl w:val="1"/>
          <w:numId w:val="1"/>
        </w:numPr>
        <w:ind w:left="1440" w:hanging="540"/>
      </w:pPr>
      <w:r w:rsidRPr="00374669">
        <w:rPr>
          <w:u w:val="single"/>
        </w:rPr>
        <w:t>Customer Affiliates</w:t>
      </w:r>
      <w:r w:rsidR="00C209FF">
        <w:t xml:space="preserve">: DNAnexus’ obligations set forth in this DPA shall also extend to </w:t>
      </w:r>
      <w:proofErr w:type="spellStart"/>
      <w:r w:rsidR="00FF4A7E">
        <w:t>Authorised</w:t>
      </w:r>
      <w:proofErr w:type="spellEnd"/>
      <w:r w:rsidR="00C209FF">
        <w:t xml:space="preserve"> Affiliate</w:t>
      </w:r>
      <w:r w:rsidR="00174CF6">
        <w:t>s</w:t>
      </w:r>
      <w:r w:rsidR="00C209FF">
        <w:t xml:space="preserve">, subject to the </w:t>
      </w:r>
      <w:r w:rsidR="00686B65">
        <w:t>following conditions:</w:t>
      </w:r>
    </w:p>
    <w:p w14:paraId="3592D3EA" w14:textId="5A6EB33B" w:rsidR="00686B65" w:rsidRDefault="00686B65" w:rsidP="00686B65">
      <w:pPr>
        <w:pStyle w:val="BodyText"/>
        <w:numPr>
          <w:ilvl w:val="2"/>
          <w:numId w:val="1"/>
        </w:numPr>
        <w:ind w:left="2070"/>
      </w:pPr>
      <w:r>
        <w:t xml:space="preserve">Customer must exclusively communicate any additional Processing Instructions requested pursuant to </w:t>
      </w:r>
      <w:r w:rsidRPr="00D70076">
        <w:t xml:space="preserve">Section </w:t>
      </w:r>
      <w:r w:rsidR="007333E1" w:rsidRPr="00374669">
        <w:t>4</w:t>
      </w:r>
      <w:r w:rsidRPr="00D70076">
        <w:t>.2</w:t>
      </w:r>
      <w:r>
        <w:t xml:space="preserve"> directly to DNAnexus, including instructions from its </w:t>
      </w:r>
      <w:proofErr w:type="spellStart"/>
      <w:r w:rsidR="00FF4A7E">
        <w:t>Authorised</w:t>
      </w:r>
      <w:proofErr w:type="spellEnd"/>
      <w:r>
        <w:t xml:space="preserve"> </w:t>
      </w:r>
      <w:proofErr w:type="gramStart"/>
      <w:r>
        <w:t>Affiliates;</w:t>
      </w:r>
      <w:proofErr w:type="gramEnd"/>
    </w:p>
    <w:p w14:paraId="5CD8906C" w14:textId="76A5B52E" w:rsidR="00686B65" w:rsidRDefault="00686B65" w:rsidP="00686B65">
      <w:pPr>
        <w:pStyle w:val="BodyText"/>
        <w:numPr>
          <w:ilvl w:val="2"/>
          <w:numId w:val="1"/>
        </w:numPr>
        <w:ind w:left="2070"/>
      </w:pPr>
      <w:r>
        <w:t xml:space="preserve">Customer shall be responsible for </w:t>
      </w:r>
      <w:proofErr w:type="spellStart"/>
      <w:r w:rsidR="00FF4A7E">
        <w:t>Authorised</w:t>
      </w:r>
      <w:proofErr w:type="spellEnd"/>
      <w:r>
        <w:t xml:space="preserve"> Affiliates’ compliance with this DPA and all acts and/or omissions by an </w:t>
      </w:r>
      <w:proofErr w:type="spellStart"/>
      <w:r w:rsidR="00FF4A7E">
        <w:t>Authorised</w:t>
      </w:r>
      <w:proofErr w:type="spellEnd"/>
      <w:r>
        <w:t xml:space="preserve"> Affiliate with respect to Customer’s obligations in this DPA shall be considered the acts and/or omissions of Customer; and</w:t>
      </w:r>
    </w:p>
    <w:p w14:paraId="7B2965F5" w14:textId="2C48638F" w:rsidR="00953728" w:rsidRPr="00374669" w:rsidRDefault="00FF4A7E" w:rsidP="00374669">
      <w:pPr>
        <w:pStyle w:val="BodyText"/>
        <w:numPr>
          <w:ilvl w:val="2"/>
          <w:numId w:val="1"/>
        </w:numPr>
        <w:ind w:left="2070"/>
      </w:pPr>
      <w:proofErr w:type="spellStart"/>
      <w:r>
        <w:t>Authorised</w:t>
      </w:r>
      <w:proofErr w:type="spellEnd"/>
      <w:r w:rsidR="00686B65">
        <w:t xml:space="preserve"> Affiliates shall not bring a claim directly against DNAnexus. If an </w:t>
      </w:r>
      <w:proofErr w:type="spellStart"/>
      <w:r>
        <w:t>Authorised</w:t>
      </w:r>
      <w:proofErr w:type="spellEnd"/>
      <w:r w:rsidR="00686B65">
        <w:t xml:space="preserve"> Affiliate seeks to assert a legal demand, action, suit, claim, proceeding or otherwise against DNAnexus (“</w:t>
      </w:r>
      <w:proofErr w:type="spellStart"/>
      <w:r>
        <w:rPr>
          <w:b/>
          <w:bCs/>
        </w:rPr>
        <w:t>Authorised</w:t>
      </w:r>
      <w:proofErr w:type="spellEnd"/>
      <w:r w:rsidR="00686B65">
        <w:rPr>
          <w:b/>
          <w:bCs/>
        </w:rPr>
        <w:t xml:space="preserve"> Affiliate Claim</w:t>
      </w:r>
      <w:r w:rsidR="00686B65">
        <w:t>”)</w:t>
      </w:r>
      <w:r w:rsidR="00953728">
        <w:t>: (</w:t>
      </w:r>
      <w:proofErr w:type="spellStart"/>
      <w:r w:rsidR="00953728">
        <w:t>i</w:t>
      </w:r>
      <w:proofErr w:type="spellEnd"/>
      <w:r w:rsidR="00953728">
        <w:t xml:space="preserve">) Customer must bring such </w:t>
      </w:r>
      <w:proofErr w:type="spellStart"/>
      <w:r>
        <w:t>Authorised</w:t>
      </w:r>
      <w:proofErr w:type="spellEnd"/>
      <w:r w:rsidR="00953728">
        <w:t xml:space="preserve"> Affiliate Claim directly against DNAnexus on behalf of such </w:t>
      </w:r>
      <w:proofErr w:type="spellStart"/>
      <w:r>
        <w:t>Authorised</w:t>
      </w:r>
      <w:proofErr w:type="spellEnd"/>
      <w:r w:rsidR="00953728">
        <w:t xml:space="preserve"> Affiliate, unless Data Protection Laws require the </w:t>
      </w:r>
      <w:proofErr w:type="spellStart"/>
      <w:r>
        <w:t>Authorised</w:t>
      </w:r>
      <w:proofErr w:type="spellEnd"/>
      <w:r w:rsidR="00953728">
        <w:t xml:space="preserve"> Affiliate be a party to such claim; and (ii) all </w:t>
      </w:r>
      <w:proofErr w:type="spellStart"/>
      <w:r>
        <w:t>Authorised</w:t>
      </w:r>
      <w:proofErr w:type="spellEnd"/>
      <w:r w:rsidR="00953728">
        <w:t xml:space="preserve"> Affiliate Claims shall be considered claims made by Customer and shall be subject to any liability restrictions set forth in the </w:t>
      </w:r>
      <w:r w:rsidR="006A25E1">
        <w:t>Master Subscription Agreement</w:t>
      </w:r>
      <w:r w:rsidR="00953728">
        <w:t>, including any aggregate limitation of liability</w:t>
      </w:r>
    </w:p>
    <w:p w14:paraId="7E396954" w14:textId="77777777" w:rsidR="00684F18" w:rsidRDefault="00684F18" w:rsidP="00953728">
      <w:pPr>
        <w:pStyle w:val="BodyText"/>
        <w:numPr>
          <w:ilvl w:val="1"/>
          <w:numId w:val="1"/>
        </w:numPr>
        <w:ind w:left="1440" w:hanging="540"/>
      </w:pPr>
      <w:r w:rsidRPr="00374669">
        <w:rPr>
          <w:u w:val="single"/>
        </w:rPr>
        <w:t>Customer Processing of Personal Data</w:t>
      </w:r>
      <w:r w:rsidR="00953728" w:rsidRPr="00374669">
        <w:rPr>
          <w:u w:val="single"/>
        </w:rPr>
        <w:t>:</w:t>
      </w:r>
      <w:r w:rsidR="00953728">
        <w:t xml:space="preserve"> Customer agrees that it: (</w:t>
      </w:r>
      <w:proofErr w:type="spellStart"/>
      <w:r w:rsidR="00953728">
        <w:t>i</w:t>
      </w:r>
      <w:proofErr w:type="spellEnd"/>
      <w:r w:rsidR="00953728">
        <w:t>) will comply with its obligations under Data Protection Laws</w:t>
      </w:r>
      <w:r w:rsidR="0083310C">
        <w:t xml:space="preserve"> with respect to its Processing of Customer Personal Data; (ii) will make appropriate use of the DNAnexus offerings to ensure a level of security appropriate to the particular content of the Customer Personal Data, such as </w:t>
      </w:r>
      <w:r w:rsidR="00D728A7">
        <w:t xml:space="preserve">backing up Customer Personal Data; and (iii) has obtained all consents, permissions and rights necessary under Data Protection Laws for DNAnexus to lawfully Process Customer personal Data in accordance with the </w:t>
      </w:r>
      <w:r w:rsidR="006A25E1">
        <w:t>Master Subscription Agreement</w:t>
      </w:r>
      <w:r w:rsidR="00D728A7">
        <w:t>, including, without limitation, Customer’s sharing and/or receiving Customer Personal Data from third-party via the DNAnexus offerings.</w:t>
      </w:r>
    </w:p>
    <w:p w14:paraId="2639D743" w14:textId="427E3451" w:rsidR="005D7F64" w:rsidRDefault="005D7F64">
      <w:pPr>
        <w:pStyle w:val="BodyText"/>
        <w:kinsoku w:val="0"/>
        <w:overflowPunct w:val="0"/>
        <w:spacing w:before="0"/>
        <w:ind w:left="0"/>
        <w:jc w:val="left"/>
        <w:rPr>
          <w:sz w:val="21"/>
          <w:szCs w:val="21"/>
        </w:rPr>
      </w:pPr>
    </w:p>
    <w:p w14:paraId="1403E029" w14:textId="77777777" w:rsidR="005D7F64" w:rsidRDefault="005D7F64">
      <w:pPr>
        <w:pStyle w:val="Heading1"/>
        <w:numPr>
          <w:ilvl w:val="0"/>
          <w:numId w:val="1"/>
        </w:numPr>
        <w:tabs>
          <w:tab w:val="left" w:pos="829"/>
        </w:tabs>
        <w:kinsoku w:val="0"/>
        <w:overflowPunct w:val="0"/>
        <w:ind w:hanging="722"/>
      </w:pPr>
      <w:r>
        <w:t>DATA SUBJECT RIGHTS AND</w:t>
      </w:r>
      <w:r>
        <w:rPr>
          <w:spacing w:val="-3"/>
        </w:rPr>
        <w:t xml:space="preserve"> </w:t>
      </w:r>
      <w:r>
        <w:t>REQUESTS</w:t>
      </w:r>
    </w:p>
    <w:p w14:paraId="73BB4EEC" w14:textId="70644C9B" w:rsidR="005D7F64" w:rsidRDefault="005D7F64">
      <w:pPr>
        <w:pStyle w:val="ListParagraph"/>
        <w:numPr>
          <w:ilvl w:val="1"/>
          <w:numId w:val="1"/>
        </w:numPr>
        <w:tabs>
          <w:tab w:val="left" w:pos="829"/>
        </w:tabs>
        <w:kinsoku w:val="0"/>
        <w:overflowPunct w:val="0"/>
        <w:spacing w:before="120"/>
        <w:ind w:left="107" w:right="106" w:firstLine="0"/>
        <w:rPr>
          <w:sz w:val="22"/>
          <w:szCs w:val="22"/>
        </w:rPr>
      </w:pPr>
      <w:r>
        <w:rPr>
          <w:sz w:val="22"/>
          <w:szCs w:val="22"/>
        </w:rPr>
        <w:t xml:space="preserve">To the extent permitted by law, </w:t>
      </w:r>
      <w:r w:rsidR="00797BD8">
        <w:rPr>
          <w:sz w:val="22"/>
          <w:szCs w:val="22"/>
        </w:rPr>
        <w:t>DNAnexus shall</w:t>
      </w:r>
      <w:r>
        <w:rPr>
          <w:sz w:val="22"/>
          <w:szCs w:val="22"/>
        </w:rPr>
        <w:t xml:space="preserve"> inform the Customer of requests from Data Subjects exercising</w:t>
      </w:r>
      <w:r>
        <w:rPr>
          <w:spacing w:val="-12"/>
          <w:sz w:val="22"/>
          <w:szCs w:val="22"/>
        </w:rPr>
        <w:t xml:space="preserve"> </w:t>
      </w:r>
      <w:r>
        <w:rPr>
          <w:sz w:val="22"/>
          <w:szCs w:val="22"/>
        </w:rPr>
        <w:t>their</w:t>
      </w:r>
      <w:r>
        <w:rPr>
          <w:spacing w:val="-10"/>
          <w:sz w:val="22"/>
          <w:szCs w:val="22"/>
        </w:rPr>
        <w:t xml:space="preserve"> </w:t>
      </w:r>
      <w:r>
        <w:rPr>
          <w:sz w:val="22"/>
          <w:szCs w:val="22"/>
        </w:rPr>
        <w:t>Data</w:t>
      </w:r>
      <w:r>
        <w:rPr>
          <w:spacing w:val="-9"/>
          <w:sz w:val="22"/>
          <w:szCs w:val="22"/>
        </w:rPr>
        <w:t xml:space="preserve"> </w:t>
      </w:r>
      <w:r>
        <w:rPr>
          <w:sz w:val="22"/>
          <w:szCs w:val="22"/>
        </w:rPr>
        <w:t>Subject</w:t>
      </w:r>
      <w:r>
        <w:rPr>
          <w:spacing w:val="-10"/>
          <w:sz w:val="22"/>
          <w:szCs w:val="22"/>
        </w:rPr>
        <w:t xml:space="preserve"> </w:t>
      </w:r>
      <w:r>
        <w:rPr>
          <w:sz w:val="22"/>
          <w:szCs w:val="22"/>
        </w:rPr>
        <w:t>rights</w:t>
      </w:r>
      <w:r>
        <w:rPr>
          <w:spacing w:val="-11"/>
          <w:sz w:val="22"/>
          <w:szCs w:val="22"/>
        </w:rPr>
        <w:t xml:space="preserve"> </w:t>
      </w:r>
      <w:r>
        <w:rPr>
          <w:sz w:val="22"/>
          <w:szCs w:val="22"/>
        </w:rPr>
        <w:t>(</w:t>
      </w:r>
      <w:r w:rsidR="00213F0D">
        <w:rPr>
          <w:sz w:val="22"/>
          <w:szCs w:val="22"/>
        </w:rPr>
        <w:t>e.g.,</w:t>
      </w:r>
      <w:r>
        <w:rPr>
          <w:spacing w:val="-9"/>
          <w:sz w:val="22"/>
          <w:szCs w:val="22"/>
        </w:rPr>
        <w:t xml:space="preserve"> </w:t>
      </w:r>
      <w:r>
        <w:rPr>
          <w:sz w:val="22"/>
          <w:szCs w:val="22"/>
        </w:rPr>
        <w:t>rectification,</w:t>
      </w:r>
      <w:r>
        <w:rPr>
          <w:spacing w:val="-12"/>
          <w:sz w:val="22"/>
          <w:szCs w:val="22"/>
        </w:rPr>
        <w:t xml:space="preserve"> </w:t>
      </w:r>
      <w:r>
        <w:rPr>
          <w:sz w:val="22"/>
          <w:szCs w:val="22"/>
        </w:rPr>
        <w:t>deletion</w:t>
      </w:r>
      <w:r>
        <w:rPr>
          <w:spacing w:val="-9"/>
          <w:sz w:val="22"/>
          <w:szCs w:val="22"/>
        </w:rPr>
        <w:t xml:space="preserve"> </w:t>
      </w:r>
      <w:r>
        <w:rPr>
          <w:sz w:val="22"/>
          <w:szCs w:val="22"/>
        </w:rPr>
        <w:t>and</w:t>
      </w:r>
      <w:r>
        <w:rPr>
          <w:spacing w:val="-10"/>
          <w:sz w:val="22"/>
          <w:szCs w:val="22"/>
        </w:rPr>
        <w:t xml:space="preserve"> </w:t>
      </w:r>
      <w:r>
        <w:rPr>
          <w:sz w:val="22"/>
          <w:szCs w:val="22"/>
        </w:rPr>
        <w:t>blocking</w:t>
      </w:r>
      <w:r>
        <w:rPr>
          <w:spacing w:val="-11"/>
          <w:sz w:val="22"/>
          <w:szCs w:val="22"/>
        </w:rPr>
        <w:t xml:space="preserve"> </w:t>
      </w:r>
      <w:r>
        <w:rPr>
          <w:sz w:val="22"/>
          <w:szCs w:val="22"/>
        </w:rPr>
        <w:t>of</w:t>
      </w:r>
      <w:r>
        <w:rPr>
          <w:spacing w:val="-9"/>
          <w:sz w:val="22"/>
          <w:szCs w:val="22"/>
        </w:rPr>
        <w:t xml:space="preserve"> </w:t>
      </w:r>
      <w:r>
        <w:rPr>
          <w:sz w:val="22"/>
          <w:szCs w:val="22"/>
        </w:rPr>
        <w:t>data)</w:t>
      </w:r>
      <w:r>
        <w:rPr>
          <w:spacing w:val="-8"/>
          <w:sz w:val="22"/>
          <w:szCs w:val="22"/>
        </w:rPr>
        <w:t xml:space="preserve"> </w:t>
      </w:r>
      <w:r>
        <w:rPr>
          <w:sz w:val="22"/>
          <w:szCs w:val="22"/>
        </w:rPr>
        <w:t>addressed</w:t>
      </w:r>
      <w:r>
        <w:rPr>
          <w:spacing w:val="-9"/>
          <w:sz w:val="22"/>
          <w:szCs w:val="22"/>
        </w:rPr>
        <w:t xml:space="preserve"> </w:t>
      </w:r>
      <w:r>
        <w:rPr>
          <w:sz w:val="22"/>
          <w:szCs w:val="22"/>
        </w:rPr>
        <w:t>directly</w:t>
      </w:r>
      <w:r>
        <w:rPr>
          <w:spacing w:val="-11"/>
          <w:sz w:val="22"/>
          <w:szCs w:val="22"/>
        </w:rPr>
        <w:t xml:space="preserve"> </w:t>
      </w:r>
      <w:r>
        <w:rPr>
          <w:sz w:val="22"/>
          <w:szCs w:val="22"/>
        </w:rPr>
        <w:t>to</w:t>
      </w:r>
      <w:r>
        <w:rPr>
          <w:spacing w:val="-10"/>
          <w:sz w:val="22"/>
          <w:szCs w:val="22"/>
        </w:rPr>
        <w:t xml:space="preserve"> </w:t>
      </w:r>
      <w:r>
        <w:rPr>
          <w:sz w:val="22"/>
          <w:szCs w:val="22"/>
        </w:rPr>
        <w:t xml:space="preserve">DNAnexus regarding Customer Personal Data. The Customer shall be responsible to respond to such requests of Data Subjects. </w:t>
      </w:r>
      <w:r w:rsidR="00797BD8">
        <w:rPr>
          <w:sz w:val="22"/>
          <w:szCs w:val="22"/>
        </w:rPr>
        <w:t>DNAnexus shall</w:t>
      </w:r>
      <w:r>
        <w:rPr>
          <w:sz w:val="22"/>
          <w:szCs w:val="22"/>
        </w:rPr>
        <w:t xml:space="preserve"> reasonably assist the Customer in responding to such Data Subject requests in accordance with Section 10.2 of this</w:t>
      </w:r>
      <w:r>
        <w:rPr>
          <w:spacing w:val="-1"/>
          <w:sz w:val="22"/>
          <w:szCs w:val="22"/>
        </w:rPr>
        <w:t xml:space="preserve"> </w:t>
      </w:r>
      <w:r>
        <w:rPr>
          <w:sz w:val="22"/>
          <w:szCs w:val="22"/>
        </w:rPr>
        <w:t>DPA.</w:t>
      </w:r>
    </w:p>
    <w:p w14:paraId="73CF9F41" w14:textId="77777777" w:rsidR="005D7F64" w:rsidRDefault="005D7F64">
      <w:pPr>
        <w:pStyle w:val="ListParagraph"/>
        <w:numPr>
          <w:ilvl w:val="1"/>
          <w:numId w:val="1"/>
        </w:numPr>
        <w:tabs>
          <w:tab w:val="left" w:pos="829"/>
        </w:tabs>
        <w:kinsoku w:val="0"/>
        <w:overflowPunct w:val="0"/>
        <w:spacing w:before="120"/>
        <w:ind w:left="107" w:right="102" w:firstLine="0"/>
        <w:rPr>
          <w:sz w:val="22"/>
          <w:szCs w:val="22"/>
        </w:rPr>
      </w:pPr>
      <w:r>
        <w:rPr>
          <w:sz w:val="22"/>
          <w:szCs w:val="22"/>
        </w:rPr>
        <w:t xml:space="preserve">If a Data Subject brings a claim directly against DNAnexus for a violation of their Data Subject rights, the Customer will indemnify DNAnexus for any cost, charge, damages, expenses or loss arising </w:t>
      </w:r>
      <w:proofErr w:type="gramStart"/>
      <w:r>
        <w:rPr>
          <w:sz w:val="22"/>
          <w:szCs w:val="22"/>
        </w:rPr>
        <w:t>from such a claim,</w:t>
      </w:r>
      <w:proofErr w:type="gramEnd"/>
      <w:r>
        <w:rPr>
          <w:sz w:val="22"/>
          <w:szCs w:val="22"/>
        </w:rPr>
        <w:t xml:space="preserve"> to the extent that DNAnexus has notified the Customer about the claim and given the Customer the opportunity to </w:t>
      </w:r>
      <w:r>
        <w:rPr>
          <w:sz w:val="22"/>
          <w:szCs w:val="22"/>
        </w:rPr>
        <w:lastRenderedPageBreak/>
        <w:t>cooperate with DNAnexus in the defense and settlement of the claim. Subject to the terms of the Agreement, the Customer may claim from DNAnexus amounts paid to a Data Subject for a violation of such Data Subject’s rights caused by DNAnexus’ breach of its obligations under</w:t>
      </w:r>
      <w:r>
        <w:rPr>
          <w:spacing w:val="-11"/>
          <w:sz w:val="22"/>
          <w:szCs w:val="22"/>
        </w:rPr>
        <w:t xml:space="preserve"> </w:t>
      </w:r>
      <w:r>
        <w:rPr>
          <w:sz w:val="22"/>
          <w:szCs w:val="22"/>
        </w:rPr>
        <w:t>GDPR.</w:t>
      </w:r>
    </w:p>
    <w:p w14:paraId="7F1D73A0" w14:textId="77777777" w:rsidR="005D7F64" w:rsidRDefault="005D7F64">
      <w:pPr>
        <w:pStyle w:val="BodyText"/>
        <w:kinsoku w:val="0"/>
        <w:overflowPunct w:val="0"/>
        <w:spacing w:before="11"/>
        <w:ind w:left="0"/>
        <w:jc w:val="left"/>
        <w:rPr>
          <w:sz w:val="20"/>
          <w:szCs w:val="20"/>
        </w:rPr>
      </w:pPr>
    </w:p>
    <w:p w14:paraId="27E9BA70" w14:textId="77777777" w:rsidR="005D7F64" w:rsidRDefault="005D7F64">
      <w:pPr>
        <w:pStyle w:val="Heading1"/>
        <w:numPr>
          <w:ilvl w:val="0"/>
          <w:numId w:val="1"/>
        </w:numPr>
        <w:tabs>
          <w:tab w:val="left" w:pos="829"/>
        </w:tabs>
        <w:kinsoku w:val="0"/>
        <w:overflowPunct w:val="0"/>
        <w:ind w:hanging="722"/>
      </w:pPr>
      <w:r>
        <w:t>THIRD PARTY REQUESTS AND</w:t>
      </w:r>
      <w:r>
        <w:rPr>
          <w:spacing w:val="-4"/>
        </w:rPr>
        <w:t xml:space="preserve"> </w:t>
      </w:r>
      <w:r>
        <w:t>CONFIDENTIALITY</w:t>
      </w:r>
    </w:p>
    <w:p w14:paraId="4CA21129" w14:textId="44A03AAD" w:rsidR="00BD6CA1" w:rsidRDefault="00BD6CA1" w:rsidP="00BD6CA1">
      <w:pPr>
        <w:pStyle w:val="ListParagraph"/>
        <w:numPr>
          <w:ilvl w:val="1"/>
          <w:numId w:val="1"/>
        </w:numPr>
        <w:tabs>
          <w:tab w:val="left" w:pos="829"/>
        </w:tabs>
        <w:kinsoku w:val="0"/>
        <w:overflowPunct w:val="0"/>
        <w:ind w:left="107" w:right="105" w:firstLine="0"/>
        <w:rPr>
          <w:sz w:val="22"/>
          <w:szCs w:val="22"/>
        </w:rPr>
      </w:pPr>
      <w:bookmarkStart w:id="1" w:name="_Ref98414353"/>
      <w:r>
        <w:rPr>
          <w:sz w:val="22"/>
          <w:szCs w:val="22"/>
        </w:rPr>
        <w:t xml:space="preserve">Data Subject Request. DNAnexus shall promptly notify Customer if DNAnexus receives a request from a Data Subject that identifies Customer </w:t>
      </w:r>
      <w:r w:rsidR="00D52CD3">
        <w:rPr>
          <w:sz w:val="22"/>
          <w:szCs w:val="22"/>
        </w:rPr>
        <w:t>P</w:t>
      </w:r>
      <w:r>
        <w:rPr>
          <w:sz w:val="22"/>
          <w:szCs w:val="22"/>
        </w:rPr>
        <w:t>ersonal Data or otherwise identifies Customer, including where the Data Subject seeks to exercise any of its rights under the applicable Data Protection Laws (collectively, “</w:t>
      </w:r>
      <w:r>
        <w:rPr>
          <w:b/>
          <w:bCs/>
          <w:sz w:val="22"/>
          <w:szCs w:val="22"/>
        </w:rPr>
        <w:t>Data Subject Request</w:t>
      </w:r>
      <w:r>
        <w:rPr>
          <w:sz w:val="22"/>
          <w:szCs w:val="22"/>
        </w:rPr>
        <w:t xml:space="preserve">”). </w:t>
      </w:r>
      <w:r w:rsidR="00D52CD3">
        <w:rPr>
          <w:sz w:val="22"/>
          <w:szCs w:val="22"/>
        </w:rPr>
        <w:t>Unless otherwise required under applicable Data Protection Laws,</w:t>
      </w:r>
      <w:r>
        <w:rPr>
          <w:sz w:val="22"/>
          <w:szCs w:val="22"/>
        </w:rPr>
        <w:t xml:space="preserve"> Customer will be responsible for responding to any such Data Subject Requests. To the extent Customer is unable to access the relevant Customer Personal Data within the DNAnexus offerings, DNAnexus shall (upon Customer’s written request and </w:t>
      </w:r>
      <w:proofErr w:type="gramStart"/>
      <w:r>
        <w:rPr>
          <w:sz w:val="22"/>
          <w:szCs w:val="22"/>
        </w:rPr>
        <w:t>taking into account</w:t>
      </w:r>
      <w:proofErr w:type="gramEnd"/>
      <w:r>
        <w:rPr>
          <w:sz w:val="22"/>
          <w:szCs w:val="22"/>
        </w:rPr>
        <w:t xml:space="preserve"> </w:t>
      </w:r>
      <w:r w:rsidR="00D52CD3">
        <w:rPr>
          <w:sz w:val="22"/>
          <w:szCs w:val="22"/>
        </w:rPr>
        <w:t>the</w:t>
      </w:r>
      <w:r>
        <w:rPr>
          <w:sz w:val="22"/>
          <w:szCs w:val="22"/>
        </w:rPr>
        <w:t xml:space="preserve"> nature of the Processing) provide commercially reasonable cooperation to assist Customer in responding to Data Subject Requests.</w:t>
      </w:r>
      <w:bookmarkEnd w:id="1"/>
    </w:p>
    <w:p w14:paraId="00792DC3" w14:textId="52DBB6E4" w:rsidR="005D7F64" w:rsidRDefault="00797BD8">
      <w:pPr>
        <w:pStyle w:val="ListParagraph"/>
        <w:numPr>
          <w:ilvl w:val="1"/>
          <w:numId w:val="1"/>
        </w:numPr>
        <w:tabs>
          <w:tab w:val="left" w:pos="829"/>
        </w:tabs>
        <w:kinsoku w:val="0"/>
        <w:overflowPunct w:val="0"/>
        <w:spacing w:before="120"/>
        <w:ind w:left="107" w:right="106" w:firstLine="0"/>
        <w:rPr>
          <w:sz w:val="22"/>
          <w:szCs w:val="22"/>
        </w:rPr>
      </w:pPr>
      <w:r>
        <w:rPr>
          <w:sz w:val="22"/>
          <w:szCs w:val="22"/>
        </w:rPr>
        <w:t>DNAnexus shall</w:t>
      </w:r>
      <w:r w:rsidR="005D7F64">
        <w:rPr>
          <w:sz w:val="22"/>
          <w:szCs w:val="22"/>
        </w:rPr>
        <w:t xml:space="preserve"> not disclose Customer Personal Data to any third party, unless </w:t>
      </w:r>
      <w:proofErr w:type="spellStart"/>
      <w:r w:rsidR="00FF4A7E">
        <w:rPr>
          <w:sz w:val="22"/>
          <w:szCs w:val="22"/>
        </w:rPr>
        <w:t>authorised</w:t>
      </w:r>
      <w:proofErr w:type="spellEnd"/>
      <w:r w:rsidR="005D7F64">
        <w:rPr>
          <w:sz w:val="22"/>
          <w:szCs w:val="22"/>
        </w:rPr>
        <w:t xml:space="preserve"> by the Customer or required by law. If a government or data protection authority demands access to the Customer Personal Data, </w:t>
      </w:r>
      <w:r>
        <w:rPr>
          <w:sz w:val="22"/>
          <w:szCs w:val="22"/>
        </w:rPr>
        <w:t>DNAnexus shall</w:t>
      </w:r>
      <w:r w:rsidR="005D7F64">
        <w:rPr>
          <w:sz w:val="22"/>
          <w:szCs w:val="22"/>
        </w:rPr>
        <w:t xml:space="preserve"> notify the Customer prior to disclosure, unless prohibited by</w:t>
      </w:r>
      <w:r w:rsidR="005D7F64">
        <w:rPr>
          <w:spacing w:val="-13"/>
          <w:sz w:val="22"/>
          <w:szCs w:val="22"/>
        </w:rPr>
        <w:t xml:space="preserve"> </w:t>
      </w:r>
      <w:r w:rsidR="005D7F64">
        <w:rPr>
          <w:sz w:val="22"/>
          <w:szCs w:val="22"/>
        </w:rPr>
        <w:t>law.</w:t>
      </w:r>
    </w:p>
    <w:p w14:paraId="43DD397A" w14:textId="047C02BE" w:rsidR="005D7F64" w:rsidRDefault="005D7F64">
      <w:pPr>
        <w:pStyle w:val="ListParagraph"/>
        <w:numPr>
          <w:ilvl w:val="1"/>
          <w:numId w:val="1"/>
        </w:numPr>
        <w:tabs>
          <w:tab w:val="left" w:pos="829"/>
        </w:tabs>
        <w:kinsoku w:val="0"/>
        <w:overflowPunct w:val="0"/>
        <w:spacing w:before="119"/>
        <w:ind w:left="107" w:right="112" w:firstLine="0"/>
        <w:rPr>
          <w:sz w:val="22"/>
          <w:szCs w:val="22"/>
        </w:rPr>
      </w:pPr>
      <w:r>
        <w:rPr>
          <w:sz w:val="22"/>
          <w:szCs w:val="22"/>
        </w:rPr>
        <w:t>DNAnexus</w:t>
      </w:r>
      <w:r>
        <w:rPr>
          <w:spacing w:val="-6"/>
          <w:sz w:val="22"/>
          <w:szCs w:val="22"/>
        </w:rPr>
        <w:t xml:space="preserve"> </w:t>
      </w:r>
      <w:r>
        <w:rPr>
          <w:sz w:val="22"/>
          <w:szCs w:val="22"/>
        </w:rPr>
        <w:t>requires</w:t>
      </w:r>
      <w:r>
        <w:rPr>
          <w:spacing w:val="-6"/>
          <w:sz w:val="22"/>
          <w:szCs w:val="22"/>
        </w:rPr>
        <w:t xml:space="preserve"> </w:t>
      </w:r>
      <w:proofErr w:type="gramStart"/>
      <w:r>
        <w:rPr>
          <w:sz w:val="22"/>
          <w:szCs w:val="22"/>
        </w:rPr>
        <w:t>all</w:t>
      </w:r>
      <w:r>
        <w:rPr>
          <w:spacing w:val="-5"/>
          <w:sz w:val="22"/>
          <w:szCs w:val="22"/>
        </w:rPr>
        <w:t xml:space="preserve"> </w:t>
      </w:r>
      <w:r>
        <w:rPr>
          <w:sz w:val="22"/>
          <w:szCs w:val="22"/>
        </w:rPr>
        <w:t>of</w:t>
      </w:r>
      <w:proofErr w:type="gramEnd"/>
      <w:r>
        <w:rPr>
          <w:spacing w:val="-6"/>
          <w:sz w:val="22"/>
          <w:szCs w:val="22"/>
        </w:rPr>
        <w:t xml:space="preserve"> </w:t>
      </w:r>
      <w:r>
        <w:rPr>
          <w:sz w:val="22"/>
          <w:szCs w:val="22"/>
        </w:rPr>
        <w:t>its</w:t>
      </w:r>
      <w:r>
        <w:rPr>
          <w:spacing w:val="-5"/>
          <w:sz w:val="22"/>
          <w:szCs w:val="22"/>
        </w:rPr>
        <w:t xml:space="preserve"> </w:t>
      </w:r>
      <w:r>
        <w:rPr>
          <w:sz w:val="22"/>
          <w:szCs w:val="22"/>
        </w:rPr>
        <w:t>personnel</w:t>
      </w:r>
      <w:r>
        <w:rPr>
          <w:spacing w:val="-6"/>
          <w:sz w:val="22"/>
          <w:szCs w:val="22"/>
        </w:rPr>
        <w:t xml:space="preserve"> </w:t>
      </w:r>
      <w:proofErr w:type="spellStart"/>
      <w:r w:rsidR="00FF4A7E">
        <w:rPr>
          <w:sz w:val="22"/>
          <w:szCs w:val="22"/>
        </w:rPr>
        <w:t>authorised</w:t>
      </w:r>
      <w:proofErr w:type="spellEnd"/>
      <w:r>
        <w:rPr>
          <w:spacing w:val="-6"/>
          <w:sz w:val="22"/>
          <w:szCs w:val="22"/>
        </w:rPr>
        <w:t xml:space="preserve"> </w:t>
      </w:r>
      <w:r>
        <w:rPr>
          <w:sz w:val="22"/>
          <w:szCs w:val="22"/>
        </w:rPr>
        <w:t>to</w:t>
      </w:r>
      <w:r>
        <w:rPr>
          <w:spacing w:val="-7"/>
          <w:sz w:val="22"/>
          <w:szCs w:val="22"/>
        </w:rPr>
        <w:t xml:space="preserve"> </w:t>
      </w:r>
      <w:r>
        <w:rPr>
          <w:sz w:val="22"/>
          <w:szCs w:val="22"/>
        </w:rPr>
        <w:t>Process</w:t>
      </w:r>
      <w:r>
        <w:rPr>
          <w:spacing w:val="-6"/>
          <w:sz w:val="22"/>
          <w:szCs w:val="22"/>
        </w:rPr>
        <w:t xml:space="preserve"> </w:t>
      </w:r>
      <w:r>
        <w:rPr>
          <w:sz w:val="22"/>
          <w:szCs w:val="22"/>
        </w:rPr>
        <w:t>Customer</w:t>
      </w:r>
      <w:r>
        <w:rPr>
          <w:spacing w:val="-5"/>
          <w:sz w:val="22"/>
          <w:szCs w:val="22"/>
        </w:rPr>
        <w:t xml:space="preserve"> </w:t>
      </w:r>
      <w:r>
        <w:rPr>
          <w:sz w:val="22"/>
          <w:szCs w:val="22"/>
        </w:rPr>
        <w:t>Personal</w:t>
      </w:r>
      <w:r>
        <w:rPr>
          <w:spacing w:val="-6"/>
          <w:sz w:val="22"/>
          <w:szCs w:val="22"/>
        </w:rPr>
        <w:t xml:space="preserve"> </w:t>
      </w:r>
      <w:r>
        <w:rPr>
          <w:sz w:val="22"/>
          <w:szCs w:val="22"/>
        </w:rPr>
        <w:t>Data</w:t>
      </w:r>
      <w:r>
        <w:rPr>
          <w:spacing w:val="-6"/>
          <w:sz w:val="22"/>
          <w:szCs w:val="22"/>
        </w:rPr>
        <w:t xml:space="preserve"> </w:t>
      </w:r>
      <w:r>
        <w:rPr>
          <w:sz w:val="22"/>
          <w:szCs w:val="22"/>
        </w:rPr>
        <w:t>to</w:t>
      </w:r>
      <w:r>
        <w:rPr>
          <w:spacing w:val="-7"/>
          <w:sz w:val="22"/>
          <w:szCs w:val="22"/>
        </w:rPr>
        <w:t xml:space="preserve"> </w:t>
      </w:r>
      <w:r>
        <w:rPr>
          <w:sz w:val="22"/>
          <w:szCs w:val="22"/>
        </w:rPr>
        <w:t>commit</w:t>
      </w:r>
      <w:r>
        <w:rPr>
          <w:spacing w:val="-5"/>
          <w:sz w:val="22"/>
          <w:szCs w:val="22"/>
        </w:rPr>
        <w:t xml:space="preserve"> </w:t>
      </w:r>
      <w:r>
        <w:rPr>
          <w:sz w:val="22"/>
          <w:szCs w:val="22"/>
        </w:rPr>
        <w:t>themselves to confidentiality and not Process such Customer Personal Data for any other purposes, except on instructions from the Customer or unless required by applicable</w:t>
      </w:r>
      <w:r>
        <w:rPr>
          <w:spacing w:val="-9"/>
          <w:sz w:val="22"/>
          <w:szCs w:val="22"/>
        </w:rPr>
        <w:t xml:space="preserve"> </w:t>
      </w:r>
      <w:r>
        <w:rPr>
          <w:sz w:val="22"/>
          <w:szCs w:val="22"/>
        </w:rPr>
        <w:t>law.</w:t>
      </w:r>
    </w:p>
    <w:p w14:paraId="37B67736" w14:textId="77777777" w:rsidR="005D7F64" w:rsidRDefault="005D7F64">
      <w:pPr>
        <w:pStyle w:val="BodyText"/>
        <w:kinsoku w:val="0"/>
        <w:overflowPunct w:val="0"/>
        <w:spacing w:before="9"/>
        <w:ind w:left="0"/>
        <w:jc w:val="left"/>
        <w:rPr>
          <w:sz w:val="20"/>
          <w:szCs w:val="20"/>
        </w:rPr>
      </w:pPr>
    </w:p>
    <w:p w14:paraId="6E082A5B" w14:textId="77777777" w:rsidR="005D7F64" w:rsidRDefault="005D7F64">
      <w:pPr>
        <w:pStyle w:val="Heading1"/>
        <w:numPr>
          <w:ilvl w:val="0"/>
          <w:numId w:val="1"/>
        </w:numPr>
        <w:tabs>
          <w:tab w:val="left" w:pos="829"/>
        </w:tabs>
        <w:kinsoku w:val="0"/>
        <w:overflowPunct w:val="0"/>
        <w:spacing w:before="1"/>
        <w:ind w:hanging="722"/>
      </w:pPr>
      <w:r>
        <w:t>AUDIT</w:t>
      </w:r>
    </w:p>
    <w:p w14:paraId="27A940F3" w14:textId="77777777" w:rsidR="005D7F64" w:rsidRDefault="005D7F64">
      <w:pPr>
        <w:pStyle w:val="ListParagraph"/>
        <w:numPr>
          <w:ilvl w:val="1"/>
          <w:numId w:val="1"/>
        </w:numPr>
        <w:tabs>
          <w:tab w:val="left" w:pos="829"/>
        </w:tabs>
        <w:kinsoku w:val="0"/>
        <w:overflowPunct w:val="0"/>
        <w:ind w:left="107" w:right="100" w:firstLine="0"/>
        <w:rPr>
          <w:sz w:val="22"/>
          <w:szCs w:val="22"/>
        </w:rPr>
      </w:pPr>
      <w:r w:rsidRPr="00262553">
        <w:rPr>
          <w:sz w:val="22"/>
          <w:u w:val="single"/>
        </w:rPr>
        <w:t>DNAnexus shall allow for and assist the Customer in connection with audits, including</w:t>
      </w:r>
      <w:r>
        <w:rPr>
          <w:sz w:val="22"/>
          <w:szCs w:val="22"/>
        </w:rPr>
        <w:t xml:space="preserve"> inspections, of DNAnexus Processing of Customer Personal Data conducted by the Customer or an auditor mandated by the Customer to ascertain DNAnexus compliance with this DPA, in accordance with the following</w:t>
      </w:r>
      <w:r>
        <w:rPr>
          <w:spacing w:val="-22"/>
          <w:sz w:val="22"/>
          <w:szCs w:val="22"/>
        </w:rPr>
        <w:t xml:space="preserve"> </w:t>
      </w:r>
      <w:r>
        <w:rPr>
          <w:sz w:val="22"/>
          <w:szCs w:val="22"/>
        </w:rPr>
        <w:t>procedures:</w:t>
      </w:r>
    </w:p>
    <w:p w14:paraId="232D7BF4" w14:textId="22A4390B" w:rsidR="005D7F64" w:rsidRDefault="005D7F64" w:rsidP="00262553">
      <w:pPr>
        <w:pStyle w:val="ListParagraph"/>
        <w:numPr>
          <w:ilvl w:val="2"/>
          <w:numId w:val="1"/>
        </w:numPr>
        <w:tabs>
          <w:tab w:val="left" w:pos="1530"/>
        </w:tabs>
        <w:kinsoku w:val="0"/>
        <w:overflowPunct w:val="0"/>
        <w:spacing w:before="119"/>
        <w:ind w:right="101" w:firstLine="719"/>
        <w:rPr>
          <w:sz w:val="22"/>
          <w:szCs w:val="22"/>
        </w:rPr>
      </w:pPr>
      <w:r>
        <w:rPr>
          <w:sz w:val="22"/>
          <w:szCs w:val="22"/>
        </w:rPr>
        <w:t>At</w:t>
      </w:r>
      <w:r>
        <w:rPr>
          <w:spacing w:val="-14"/>
          <w:sz w:val="22"/>
          <w:szCs w:val="22"/>
        </w:rPr>
        <w:t xml:space="preserve"> </w:t>
      </w:r>
      <w:r>
        <w:rPr>
          <w:sz w:val="22"/>
          <w:szCs w:val="22"/>
        </w:rPr>
        <w:t>Customer’s</w:t>
      </w:r>
      <w:r>
        <w:rPr>
          <w:spacing w:val="-14"/>
          <w:sz w:val="22"/>
          <w:szCs w:val="22"/>
        </w:rPr>
        <w:t xml:space="preserve"> </w:t>
      </w:r>
      <w:r>
        <w:rPr>
          <w:sz w:val="22"/>
          <w:szCs w:val="22"/>
        </w:rPr>
        <w:t>written</w:t>
      </w:r>
      <w:r>
        <w:rPr>
          <w:spacing w:val="-14"/>
          <w:sz w:val="22"/>
          <w:szCs w:val="22"/>
        </w:rPr>
        <w:t xml:space="preserve"> </w:t>
      </w:r>
      <w:r>
        <w:rPr>
          <w:sz w:val="22"/>
          <w:szCs w:val="22"/>
        </w:rPr>
        <w:t>request,</w:t>
      </w:r>
      <w:r>
        <w:rPr>
          <w:spacing w:val="-14"/>
          <w:sz w:val="22"/>
          <w:szCs w:val="22"/>
        </w:rPr>
        <w:t xml:space="preserve"> </w:t>
      </w:r>
      <w:r w:rsidR="00797BD8">
        <w:rPr>
          <w:sz w:val="22"/>
          <w:szCs w:val="22"/>
        </w:rPr>
        <w:t>DNAnexus shall</w:t>
      </w:r>
      <w:r>
        <w:rPr>
          <w:spacing w:val="-13"/>
          <w:sz w:val="22"/>
          <w:szCs w:val="22"/>
        </w:rPr>
        <w:t xml:space="preserve"> </w:t>
      </w:r>
      <w:r>
        <w:rPr>
          <w:sz w:val="22"/>
          <w:szCs w:val="22"/>
        </w:rPr>
        <w:t>provide</w:t>
      </w:r>
      <w:r>
        <w:rPr>
          <w:spacing w:val="-17"/>
          <w:sz w:val="22"/>
          <w:szCs w:val="22"/>
        </w:rPr>
        <w:t xml:space="preserve"> </w:t>
      </w:r>
      <w:r>
        <w:rPr>
          <w:sz w:val="22"/>
          <w:szCs w:val="22"/>
        </w:rPr>
        <w:t>the</w:t>
      </w:r>
      <w:r>
        <w:rPr>
          <w:spacing w:val="-14"/>
          <w:sz w:val="22"/>
          <w:szCs w:val="22"/>
        </w:rPr>
        <w:t xml:space="preserve"> </w:t>
      </w:r>
      <w:r>
        <w:rPr>
          <w:sz w:val="22"/>
          <w:szCs w:val="22"/>
        </w:rPr>
        <w:t>Customer</w:t>
      </w:r>
      <w:r>
        <w:rPr>
          <w:spacing w:val="-13"/>
          <w:sz w:val="22"/>
          <w:szCs w:val="22"/>
        </w:rPr>
        <w:t xml:space="preserve"> </w:t>
      </w:r>
      <w:r>
        <w:rPr>
          <w:sz w:val="22"/>
          <w:szCs w:val="22"/>
        </w:rPr>
        <w:t>or</w:t>
      </w:r>
      <w:r>
        <w:rPr>
          <w:spacing w:val="-16"/>
          <w:sz w:val="22"/>
          <w:szCs w:val="22"/>
        </w:rPr>
        <w:t xml:space="preserve"> </w:t>
      </w:r>
      <w:r>
        <w:rPr>
          <w:sz w:val="22"/>
          <w:szCs w:val="22"/>
        </w:rPr>
        <w:t>its</w:t>
      </w:r>
      <w:r>
        <w:rPr>
          <w:spacing w:val="-14"/>
          <w:sz w:val="22"/>
          <w:szCs w:val="22"/>
        </w:rPr>
        <w:t xml:space="preserve"> </w:t>
      </w:r>
      <w:r>
        <w:rPr>
          <w:sz w:val="22"/>
          <w:szCs w:val="22"/>
        </w:rPr>
        <w:t>mandated</w:t>
      </w:r>
      <w:r>
        <w:rPr>
          <w:spacing w:val="-14"/>
          <w:sz w:val="22"/>
          <w:szCs w:val="22"/>
        </w:rPr>
        <w:t xml:space="preserve"> </w:t>
      </w:r>
      <w:r>
        <w:rPr>
          <w:sz w:val="22"/>
          <w:szCs w:val="22"/>
        </w:rPr>
        <w:t xml:space="preserve">auditor with the most recent certifications and/or summary audit </w:t>
      </w:r>
      <w:r w:rsidR="0004585A">
        <w:rPr>
          <w:sz w:val="22"/>
          <w:szCs w:val="22"/>
        </w:rPr>
        <w:t>R</w:t>
      </w:r>
      <w:r>
        <w:rPr>
          <w:sz w:val="22"/>
          <w:szCs w:val="22"/>
        </w:rPr>
        <w:t xml:space="preserve">eport(s), which DNAnexus has procured </w:t>
      </w:r>
      <w:r>
        <w:rPr>
          <w:spacing w:val="4"/>
          <w:sz w:val="22"/>
          <w:szCs w:val="22"/>
        </w:rPr>
        <w:t xml:space="preserve">to </w:t>
      </w:r>
      <w:r>
        <w:rPr>
          <w:sz w:val="22"/>
          <w:szCs w:val="22"/>
        </w:rPr>
        <w:t>regularly test, assess and evaluate the effectiveness of the</w:t>
      </w:r>
      <w:r>
        <w:rPr>
          <w:spacing w:val="-9"/>
          <w:sz w:val="22"/>
          <w:szCs w:val="22"/>
        </w:rPr>
        <w:t xml:space="preserve"> </w:t>
      </w:r>
      <w:r>
        <w:rPr>
          <w:sz w:val="22"/>
          <w:szCs w:val="22"/>
        </w:rPr>
        <w:t>TOMs.</w:t>
      </w:r>
    </w:p>
    <w:p w14:paraId="22F8F2AB" w14:textId="112D1BD0" w:rsidR="005D7F64" w:rsidRDefault="00797BD8" w:rsidP="00262553">
      <w:pPr>
        <w:pStyle w:val="ListParagraph"/>
        <w:numPr>
          <w:ilvl w:val="2"/>
          <w:numId w:val="1"/>
        </w:numPr>
        <w:tabs>
          <w:tab w:val="left" w:pos="1530"/>
        </w:tabs>
        <w:kinsoku w:val="0"/>
        <w:overflowPunct w:val="0"/>
        <w:spacing w:before="120"/>
        <w:ind w:right="102" w:firstLine="719"/>
        <w:rPr>
          <w:sz w:val="22"/>
          <w:szCs w:val="22"/>
        </w:rPr>
      </w:pPr>
      <w:r>
        <w:rPr>
          <w:sz w:val="22"/>
          <w:szCs w:val="22"/>
        </w:rPr>
        <w:t>DNAnexus shall</w:t>
      </w:r>
      <w:r w:rsidR="005D7F64">
        <w:rPr>
          <w:sz w:val="22"/>
          <w:szCs w:val="22"/>
        </w:rPr>
        <w:t xml:space="preserve"> reasonably cooperate with the Customer to comply with its own or other Controllers’</w:t>
      </w:r>
      <w:r w:rsidR="005D7F64">
        <w:rPr>
          <w:spacing w:val="-11"/>
          <w:sz w:val="22"/>
          <w:szCs w:val="22"/>
        </w:rPr>
        <w:t xml:space="preserve"> </w:t>
      </w:r>
      <w:r w:rsidR="005D7F64">
        <w:rPr>
          <w:sz w:val="22"/>
          <w:szCs w:val="22"/>
        </w:rPr>
        <w:t>audit</w:t>
      </w:r>
      <w:r w:rsidR="005D7F64">
        <w:rPr>
          <w:spacing w:val="-11"/>
          <w:sz w:val="22"/>
          <w:szCs w:val="22"/>
        </w:rPr>
        <w:t xml:space="preserve"> </w:t>
      </w:r>
      <w:r w:rsidR="005D7F64">
        <w:rPr>
          <w:sz w:val="22"/>
          <w:szCs w:val="22"/>
        </w:rPr>
        <w:t>obligations</w:t>
      </w:r>
      <w:r w:rsidR="005D7F64">
        <w:rPr>
          <w:spacing w:val="-9"/>
          <w:sz w:val="22"/>
          <w:szCs w:val="22"/>
        </w:rPr>
        <w:t xml:space="preserve"> </w:t>
      </w:r>
      <w:r w:rsidR="005D7F64">
        <w:rPr>
          <w:sz w:val="22"/>
          <w:szCs w:val="22"/>
        </w:rPr>
        <w:t>or</w:t>
      </w:r>
      <w:r w:rsidR="005D7F64">
        <w:rPr>
          <w:spacing w:val="-11"/>
          <w:sz w:val="22"/>
          <w:szCs w:val="22"/>
        </w:rPr>
        <w:t xml:space="preserve"> </w:t>
      </w:r>
      <w:r w:rsidR="005D7F64">
        <w:rPr>
          <w:sz w:val="22"/>
          <w:szCs w:val="22"/>
        </w:rPr>
        <w:t>a</w:t>
      </w:r>
      <w:r w:rsidR="005D7F64">
        <w:rPr>
          <w:spacing w:val="-12"/>
          <w:sz w:val="22"/>
          <w:szCs w:val="22"/>
        </w:rPr>
        <w:t xml:space="preserve"> </w:t>
      </w:r>
      <w:r w:rsidR="005D7F64">
        <w:rPr>
          <w:sz w:val="22"/>
          <w:szCs w:val="22"/>
        </w:rPr>
        <w:t>competent</w:t>
      </w:r>
      <w:r w:rsidR="005D7F64">
        <w:rPr>
          <w:spacing w:val="-7"/>
          <w:sz w:val="22"/>
          <w:szCs w:val="22"/>
        </w:rPr>
        <w:t xml:space="preserve"> </w:t>
      </w:r>
      <w:r w:rsidR="005D7F64">
        <w:rPr>
          <w:sz w:val="22"/>
          <w:szCs w:val="22"/>
        </w:rPr>
        <w:t>data</w:t>
      </w:r>
      <w:r w:rsidR="005D7F64">
        <w:rPr>
          <w:spacing w:val="-12"/>
          <w:sz w:val="22"/>
          <w:szCs w:val="22"/>
        </w:rPr>
        <w:t xml:space="preserve"> </w:t>
      </w:r>
      <w:r w:rsidR="005D7F64">
        <w:rPr>
          <w:sz w:val="22"/>
          <w:szCs w:val="22"/>
        </w:rPr>
        <w:t>protection</w:t>
      </w:r>
      <w:r w:rsidR="005D7F64">
        <w:rPr>
          <w:spacing w:val="-8"/>
          <w:sz w:val="22"/>
          <w:szCs w:val="22"/>
        </w:rPr>
        <w:t xml:space="preserve"> </w:t>
      </w:r>
      <w:r w:rsidR="005D7F64">
        <w:rPr>
          <w:sz w:val="22"/>
          <w:szCs w:val="22"/>
        </w:rPr>
        <w:t>authority’s</w:t>
      </w:r>
      <w:r w:rsidR="005D7F64">
        <w:rPr>
          <w:spacing w:val="-11"/>
          <w:sz w:val="22"/>
          <w:szCs w:val="22"/>
        </w:rPr>
        <w:t xml:space="preserve"> </w:t>
      </w:r>
      <w:r w:rsidR="005D7F64">
        <w:rPr>
          <w:sz w:val="22"/>
          <w:szCs w:val="22"/>
        </w:rPr>
        <w:t>request</w:t>
      </w:r>
      <w:r w:rsidR="005D7F64">
        <w:rPr>
          <w:spacing w:val="-8"/>
          <w:sz w:val="22"/>
          <w:szCs w:val="22"/>
        </w:rPr>
        <w:t xml:space="preserve"> </w:t>
      </w:r>
      <w:r w:rsidR="005D7F64">
        <w:rPr>
          <w:sz w:val="22"/>
          <w:szCs w:val="22"/>
        </w:rPr>
        <w:t>as</w:t>
      </w:r>
      <w:r w:rsidR="005D7F64">
        <w:rPr>
          <w:spacing w:val="-11"/>
          <w:sz w:val="22"/>
          <w:szCs w:val="22"/>
        </w:rPr>
        <w:t xml:space="preserve"> </w:t>
      </w:r>
      <w:r w:rsidR="005D7F64">
        <w:rPr>
          <w:sz w:val="22"/>
          <w:szCs w:val="22"/>
        </w:rPr>
        <w:t>it</w:t>
      </w:r>
      <w:r w:rsidR="005D7F64">
        <w:rPr>
          <w:spacing w:val="-10"/>
          <w:sz w:val="22"/>
          <w:szCs w:val="22"/>
        </w:rPr>
        <w:t xml:space="preserve"> </w:t>
      </w:r>
      <w:r w:rsidR="005D7F64">
        <w:rPr>
          <w:sz w:val="22"/>
          <w:szCs w:val="22"/>
        </w:rPr>
        <w:t>relates</w:t>
      </w:r>
      <w:r w:rsidR="005D7F64">
        <w:rPr>
          <w:spacing w:val="-11"/>
          <w:sz w:val="22"/>
          <w:szCs w:val="22"/>
        </w:rPr>
        <w:t xml:space="preserve"> </w:t>
      </w:r>
      <w:r w:rsidR="005D7F64">
        <w:rPr>
          <w:sz w:val="22"/>
          <w:szCs w:val="22"/>
        </w:rPr>
        <w:t>to</w:t>
      </w:r>
      <w:r w:rsidR="005D7F64">
        <w:rPr>
          <w:spacing w:val="-12"/>
          <w:sz w:val="22"/>
          <w:szCs w:val="22"/>
        </w:rPr>
        <w:t xml:space="preserve"> </w:t>
      </w:r>
      <w:r w:rsidR="005D7F64">
        <w:rPr>
          <w:sz w:val="22"/>
          <w:szCs w:val="22"/>
        </w:rPr>
        <w:t>the</w:t>
      </w:r>
      <w:r w:rsidR="005D7F64">
        <w:rPr>
          <w:spacing w:val="-7"/>
          <w:sz w:val="22"/>
          <w:szCs w:val="22"/>
        </w:rPr>
        <w:t xml:space="preserve"> </w:t>
      </w:r>
      <w:r w:rsidR="005D7F64">
        <w:rPr>
          <w:sz w:val="22"/>
          <w:szCs w:val="22"/>
        </w:rPr>
        <w:t>Processing of</w:t>
      </w:r>
      <w:r w:rsidR="005D7F64">
        <w:rPr>
          <w:spacing w:val="-9"/>
          <w:sz w:val="22"/>
          <w:szCs w:val="22"/>
        </w:rPr>
        <w:t xml:space="preserve"> </w:t>
      </w:r>
      <w:r w:rsidR="005D7F64">
        <w:rPr>
          <w:sz w:val="22"/>
          <w:szCs w:val="22"/>
        </w:rPr>
        <w:t>Customer</w:t>
      </w:r>
      <w:r w:rsidR="005D7F64">
        <w:rPr>
          <w:spacing w:val="-8"/>
          <w:sz w:val="22"/>
          <w:szCs w:val="22"/>
        </w:rPr>
        <w:t xml:space="preserve"> </w:t>
      </w:r>
      <w:r w:rsidR="005D7F64">
        <w:rPr>
          <w:sz w:val="22"/>
          <w:szCs w:val="22"/>
        </w:rPr>
        <w:t>Personal</w:t>
      </w:r>
      <w:r w:rsidR="005D7F64">
        <w:rPr>
          <w:spacing w:val="-7"/>
          <w:sz w:val="22"/>
          <w:szCs w:val="22"/>
        </w:rPr>
        <w:t xml:space="preserve"> </w:t>
      </w:r>
      <w:r w:rsidR="005D7F64">
        <w:rPr>
          <w:sz w:val="22"/>
          <w:szCs w:val="22"/>
        </w:rPr>
        <w:t>Data.</w:t>
      </w:r>
      <w:r w:rsidR="005D7F64">
        <w:rPr>
          <w:spacing w:val="-11"/>
          <w:sz w:val="22"/>
          <w:szCs w:val="22"/>
        </w:rPr>
        <w:t xml:space="preserve"> </w:t>
      </w:r>
      <w:r w:rsidR="005D7F64">
        <w:rPr>
          <w:sz w:val="22"/>
          <w:szCs w:val="22"/>
        </w:rPr>
        <w:t>The</w:t>
      </w:r>
      <w:r w:rsidR="005D7F64">
        <w:rPr>
          <w:spacing w:val="-9"/>
          <w:sz w:val="22"/>
          <w:szCs w:val="22"/>
        </w:rPr>
        <w:t xml:space="preserve"> </w:t>
      </w:r>
      <w:r w:rsidR="005D7F64">
        <w:rPr>
          <w:sz w:val="22"/>
          <w:szCs w:val="22"/>
        </w:rPr>
        <w:t>Customer</w:t>
      </w:r>
      <w:r w:rsidR="005D7F64">
        <w:rPr>
          <w:spacing w:val="-8"/>
          <w:sz w:val="22"/>
          <w:szCs w:val="22"/>
        </w:rPr>
        <w:t xml:space="preserve"> </w:t>
      </w:r>
      <w:r w:rsidR="005D7F64">
        <w:rPr>
          <w:sz w:val="22"/>
          <w:szCs w:val="22"/>
        </w:rPr>
        <w:t>will</w:t>
      </w:r>
      <w:r w:rsidR="005D7F64">
        <w:rPr>
          <w:spacing w:val="-8"/>
          <w:sz w:val="22"/>
          <w:szCs w:val="22"/>
        </w:rPr>
        <w:t xml:space="preserve"> </w:t>
      </w:r>
      <w:r w:rsidR="005D7F64">
        <w:rPr>
          <w:sz w:val="22"/>
          <w:szCs w:val="22"/>
        </w:rPr>
        <w:t>inform</w:t>
      </w:r>
      <w:r w:rsidR="005D7F64">
        <w:rPr>
          <w:spacing w:val="-10"/>
          <w:sz w:val="22"/>
          <w:szCs w:val="22"/>
        </w:rPr>
        <w:t xml:space="preserve"> </w:t>
      </w:r>
      <w:r w:rsidR="005D7F64">
        <w:rPr>
          <w:sz w:val="22"/>
          <w:szCs w:val="22"/>
        </w:rPr>
        <w:t>DNAnexus</w:t>
      </w:r>
      <w:r w:rsidR="005D7F64">
        <w:rPr>
          <w:spacing w:val="-9"/>
          <w:sz w:val="22"/>
          <w:szCs w:val="22"/>
        </w:rPr>
        <w:t xml:space="preserve"> </w:t>
      </w:r>
      <w:r w:rsidR="005D7F64">
        <w:rPr>
          <w:sz w:val="22"/>
          <w:szCs w:val="22"/>
        </w:rPr>
        <w:t>in</w:t>
      </w:r>
      <w:r w:rsidR="005D7F64">
        <w:rPr>
          <w:spacing w:val="-9"/>
          <w:sz w:val="22"/>
          <w:szCs w:val="22"/>
        </w:rPr>
        <w:t xml:space="preserve"> </w:t>
      </w:r>
      <w:r w:rsidR="005D7F64">
        <w:rPr>
          <w:sz w:val="22"/>
          <w:szCs w:val="22"/>
        </w:rPr>
        <w:t>writing</w:t>
      </w:r>
      <w:r w:rsidR="005D7F64">
        <w:rPr>
          <w:spacing w:val="-12"/>
          <w:sz w:val="22"/>
          <w:szCs w:val="22"/>
        </w:rPr>
        <w:t xml:space="preserve"> </w:t>
      </w:r>
      <w:r w:rsidR="005D7F64">
        <w:rPr>
          <w:sz w:val="22"/>
          <w:szCs w:val="22"/>
        </w:rPr>
        <w:t>to</w:t>
      </w:r>
      <w:r w:rsidR="005D7F64">
        <w:rPr>
          <w:spacing w:val="-9"/>
          <w:sz w:val="22"/>
          <w:szCs w:val="22"/>
        </w:rPr>
        <w:t xml:space="preserve"> </w:t>
      </w:r>
      <w:r w:rsidR="005D7F64">
        <w:rPr>
          <w:sz w:val="22"/>
          <w:szCs w:val="22"/>
        </w:rPr>
        <w:t>enable</w:t>
      </w:r>
      <w:r w:rsidR="005D7F64">
        <w:rPr>
          <w:spacing w:val="-9"/>
          <w:sz w:val="22"/>
          <w:szCs w:val="22"/>
        </w:rPr>
        <w:t xml:space="preserve"> </w:t>
      </w:r>
      <w:r w:rsidR="005D7F64">
        <w:rPr>
          <w:sz w:val="22"/>
          <w:szCs w:val="22"/>
        </w:rPr>
        <w:t>DNAnexus</w:t>
      </w:r>
      <w:r w:rsidR="005D7F64">
        <w:rPr>
          <w:spacing w:val="-8"/>
          <w:sz w:val="22"/>
          <w:szCs w:val="22"/>
        </w:rPr>
        <w:t xml:space="preserve"> </w:t>
      </w:r>
      <w:r w:rsidR="005D7F64">
        <w:rPr>
          <w:sz w:val="22"/>
          <w:szCs w:val="22"/>
        </w:rPr>
        <w:t>to</w:t>
      </w:r>
      <w:r w:rsidR="005D7F64">
        <w:rPr>
          <w:spacing w:val="-10"/>
          <w:sz w:val="22"/>
          <w:szCs w:val="22"/>
        </w:rPr>
        <w:t xml:space="preserve"> </w:t>
      </w:r>
      <w:r w:rsidR="005D7F64">
        <w:rPr>
          <w:sz w:val="22"/>
          <w:szCs w:val="22"/>
        </w:rPr>
        <w:t>provide such information or to grant the Customer access to</w:t>
      </w:r>
      <w:r w:rsidR="005D7F64">
        <w:rPr>
          <w:spacing w:val="-9"/>
          <w:sz w:val="22"/>
          <w:szCs w:val="22"/>
        </w:rPr>
        <w:t xml:space="preserve"> </w:t>
      </w:r>
      <w:r w:rsidR="005D7F64">
        <w:rPr>
          <w:sz w:val="22"/>
          <w:szCs w:val="22"/>
        </w:rPr>
        <w:t>it.</w:t>
      </w:r>
    </w:p>
    <w:p w14:paraId="43825859" w14:textId="77777777" w:rsidR="005D7F64" w:rsidRDefault="005D7F64" w:rsidP="00262553">
      <w:pPr>
        <w:pStyle w:val="ListParagraph"/>
        <w:numPr>
          <w:ilvl w:val="2"/>
          <w:numId w:val="1"/>
        </w:numPr>
        <w:tabs>
          <w:tab w:val="left" w:pos="1530"/>
        </w:tabs>
        <w:kinsoku w:val="0"/>
        <w:overflowPunct w:val="0"/>
        <w:ind w:right="102" w:firstLine="719"/>
        <w:rPr>
          <w:sz w:val="22"/>
          <w:szCs w:val="22"/>
        </w:rPr>
      </w:pPr>
      <w:r>
        <w:rPr>
          <w:sz w:val="22"/>
          <w:szCs w:val="22"/>
        </w:rPr>
        <w:t>If</w:t>
      </w:r>
      <w:r>
        <w:rPr>
          <w:spacing w:val="-13"/>
          <w:sz w:val="22"/>
          <w:szCs w:val="22"/>
        </w:rPr>
        <w:t xml:space="preserve"> </w:t>
      </w:r>
      <w:r>
        <w:rPr>
          <w:sz w:val="22"/>
          <w:szCs w:val="22"/>
        </w:rPr>
        <w:t>further</w:t>
      </w:r>
      <w:r>
        <w:rPr>
          <w:spacing w:val="-12"/>
          <w:sz w:val="22"/>
          <w:szCs w:val="22"/>
        </w:rPr>
        <w:t xml:space="preserve"> </w:t>
      </w:r>
      <w:r>
        <w:rPr>
          <w:sz w:val="22"/>
          <w:szCs w:val="22"/>
        </w:rPr>
        <w:t>information</w:t>
      </w:r>
      <w:r>
        <w:rPr>
          <w:spacing w:val="-13"/>
          <w:sz w:val="22"/>
          <w:szCs w:val="22"/>
        </w:rPr>
        <w:t xml:space="preserve"> </w:t>
      </w:r>
      <w:r>
        <w:rPr>
          <w:sz w:val="22"/>
          <w:szCs w:val="22"/>
        </w:rPr>
        <w:t>is</w:t>
      </w:r>
      <w:r>
        <w:rPr>
          <w:spacing w:val="-12"/>
          <w:sz w:val="22"/>
          <w:szCs w:val="22"/>
        </w:rPr>
        <w:t xml:space="preserve"> </w:t>
      </w:r>
      <w:r>
        <w:rPr>
          <w:sz w:val="22"/>
          <w:szCs w:val="22"/>
        </w:rPr>
        <w:t>needed</w:t>
      </w:r>
      <w:r>
        <w:rPr>
          <w:spacing w:val="-13"/>
          <w:sz w:val="22"/>
          <w:szCs w:val="22"/>
        </w:rPr>
        <w:t xml:space="preserve"> </w:t>
      </w:r>
      <w:r>
        <w:rPr>
          <w:sz w:val="22"/>
          <w:szCs w:val="22"/>
        </w:rPr>
        <w:t>by</w:t>
      </w:r>
      <w:r>
        <w:rPr>
          <w:spacing w:val="-16"/>
          <w:sz w:val="22"/>
          <w:szCs w:val="22"/>
        </w:rPr>
        <w:t xml:space="preserve"> </w:t>
      </w:r>
      <w:r>
        <w:rPr>
          <w:sz w:val="22"/>
          <w:szCs w:val="22"/>
        </w:rPr>
        <w:t>the</w:t>
      </w:r>
      <w:r>
        <w:rPr>
          <w:spacing w:val="-12"/>
          <w:sz w:val="22"/>
          <w:szCs w:val="22"/>
        </w:rPr>
        <w:t xml:space="preserve"> </w:t>
      </w:r>
      <w:r>
        <w:rPr>
          <w:sz w:val="22"/>
          <w:szCs w:val="22"/>
        </w:rPr>
        <w:t>Customer</w:t>
      </w:r>
      <w:r>
        <w:rPr>
          <w:spacing w:val="-12"/>
          <w:sz w:val="22"/>
          <w:szCs w:val="22"/>
        </w:rPr>
        <w:t xml:space="preserve"> </w:t>
      </w:r>
      <w:r>
        <w:rPr>
          <w:sz w:val="22"/>
          <w:szCs w:val="22"/>
        </w:rPr>
        <w:t>to</w:t>
      </w:r>
      <w:r>
        <w:rPr>
          <w:spacing w:val="-13"/>
          <w:sz w:val="22"/>
          <w:szCs w:val="22"/>
        </w:rPr>
        <w:t xml:space="preserve"> </w:t>
      </w:r>
      <w:r>
        <w:rPr>
          <w:sz w:val="22"/>
          <w:szCs w:val="22"/>
        </w:rPr>
        <w:t>comply</w:t>
      </w:r>
      <w:r>
        <w:rPr>
          <w:spacing w:val="-16"/>
          <w:sz w:val="22"/>
          <w:szCs w:val="22"/>
        </w:rPr>
        <w:t xml:space="preserve"> </w:t>
      </w:r>
      <w:r>
        <w:rPr>
          <w:sz w:val="22"/>
          <w:szCs w:val="22"/>
        </w:rPr>
        <w:t>with</w:t>
      </w:r>
      <w:r>
        <w:rPr>
          <w:spacing w:val="-12"/>
          <w:sz w:val="22"/>
          <w:szCs w:val="22"/>
        </w:rPr>
        <w:t xml:space="preserve"> </w:t>
      </w:r>
      <w:r>
        <w:rPr>
          <w:sz w:val="22"/>
          <w:szCs w:val="22"/>
        </w:rPr>
        <w:t>its</w:t>
      </w:r>
      <w:r>
        <w:rPr>
          <w:spacing w:val="-13"/>
          <w:sz w:val="22"/>
          <w:szCs w:val="22"/>
        </w:rPr>
        <w:t xml:space="preserve"> </w:t>
      </w:r>
      <w:r>
        <w:rPr>
          <w:sz w:val="22"/>
          <w:szCs w:val="22"/>
        </w:rPr>
        <w:t>own</w:t>
      </w:r>
      <w:r>
        <w:rPr>
          <w:spacing w:val="-13"/>
          <w:sz w:val="22"/>
          <w:szCs w:val="22"/>
        </w:rPr>
        <w:t xml:space="preserve"> </w:t>
      </w:r>
      <w:r>
        <w:rPr>
          <w:sz w:val="22"/>
          <w:szCs w:val="22"/>
        </w:rPr>
        <w:t>or</w:t>
      </w:r>
      <w:r>
        <w:rPr>
          <w:spacing w:val="-12"/>
          <w:sz w:val="22"/>
          <w:szCs w:val="22"/>
        </w:rPr>
        <w:t xml:space="preserve"> </w:t>
      </w:r>
      <w:r>
        <w:rPr>
          <w:sz w:val="22"/>
          <w:szCs w:val="22"/>
        </w:rPr>
        <w:t>other</w:t>
      </w:r>
      <w:r>
        <w:rPr>
          <w:spacing w:val="-12"/>
          <w:sz w:val="22"/>
          <w:szCs w:val="22"/>
        </w:rPr>
        <w:t xml:space="preserve"> </w:t>
      </w:r>
      <w:r>
        <w:rPr>
          <w:sz w:val="22"/>
          <w:szCs w:val="22"/>
        </w:rPr>
        <w:t>Controller’s audit</w:t>
      </w:r>
      <w:r>
        <w:rPr>
          <w:spacing w:val="-11"/>
          <w:sz w:val="22"/>
          <w:szCs w:val="22"/>
        </w:rPr>
        <w:t xml:space="preserve"> </w:t>
      </w:r>
      <w:r>
        <w:rPr>
          <w:sz w:val="22"/>
          <w:szCs w:val="22"/>
        </w:rPr>
        <w:t>obligations</w:t>
      </w:r>
      <w:r>
        <w:rPr>
          <w:spacing w:val="-10"/>
          <w:sz w:val="22"/>
          <w:szCs w:val="22"/>
        </w:rPr>
        <w:t xml:space="preserve"> </w:t>
      </w:r>
      <w:r>
        <w:rPr>
          <w:sz w:val="22"/>
          <w:szCs w:val="22"/>
        </w:rPr>
        <w:t>or</w:t>
      </w:r>
      <w:r>
        <w:rPr>
          <w:spacing w:val="-11"/>
          <w:sz w:val="22"/>
          <w:szCs w:val="22"/>
        </w:rPr>
        <w:t xml:space="preserve"> </w:t>
      </w:r>
      <w:r>
        <w:rPr>
          <w:sz w:val="22"/>
          <w:szCs w:val="22"/>
        </w:rPr>
        <w:t>a</w:t>
      </w:r>
      <w:r>
        <w:rPr>
          <w:spacing w:val="-11"/>
          <w:sz w:val="22"/>
          <w:szCs w:val="22"/>
        </w:rPr>
        <w:t xml:space="preserve"> </w:t>
      </w:r>
      <w:r>
        <w:rPr>
          <w:sz w:val="22"/>
          <w:szCs w:val="22"/>
        </w:rPr>
        <w:t>competent</w:t>
      </w:r>
      <w:r>
        <w:rPr>
          <w:spacing w:val="-9"/>
          <w:sz w:val="22"/>
          <w:szCs w:val="22"/>
        </w:rPr>
        <w:t xml:space="preserve"> </w:t>
      </w:r>
      <w:r>
        <w:rPr>
          <w:sz w:val="22"/>
          <w:szCs w:val="22"/>
        </w:rPr>
        <w:t>data</w:t>
      </w:r>
      <w:r>
        <w:rPr>
          <w:spacing w:val="-11"/>
          <w:sz w:val="22"/>
          <w:szCs w:val="22"/>
        </w:rPr>
        <w:t xml:space="preserve"> </w:t>
      </w:r>
      <w:r>
        <w:rPr>
          <w:sz w:val="22"/>
          <w:szCs w:val="22"/>
        </w:rPr>
        <w:t>protection</w:t>
      </w:r>
      <w:r>
        <w:rPr>
          <w:spacing w:val="-14"/>
          <w:sz w:val="22"/>
          <w:szCs w:val="22"/>
        </w:rPr>
        <w:t xml:space="preserve"> </w:t>
      </w:r>
      <w:r>
        <w:rPr>
          <w:sz w:val="22"/>
          <w:szCs w:val="22"/>
        </w:rPr>
        <w:t>authority’s</w:t>
      </w:r>
      <w:r>
        <w:rPr>
          <w:spacing w:val="-10"/>
          <w:sz w:val="22"/>
          <w:szCs w:val="22"/>
        </w:rPr>
        <w:t xml:space="preserve"> </w:t>
      </w:r>
      <w:r>
        <w:rPr>
          <w:sz w:val="22"/>
          <w:szCs w:val="22"/>
        </w:rPr>
        <w:t>request</w:t>
      </w:r>
      <w:r>
        <w:rPr>
          <w:spacing w:val="-10"/>
          <w:sz w:val="22"/>
          <w:szCs w:val="22"/>
        </w:rPr>
        <w:t xml:space="preserve"> </w:t>
      </w:r>
      <w:r>
        <w:rPr>
          <w:sz w:val="22"/>
          <w:szCs w:val="22"/>
        </w:rPr>
        <w:t>as</w:t>
      </w:r>
      <w:r>
        <w:rPr>
          <w:spacing w:val="-13"/>
          <w:sz w:val="22"/>
          <w:szCs w:val="22"/>
        </w:rPr>
        <w:t xml:space="preserve"> </w:t>
      </w:r>
      <w:r>
        <w:rPr>
          <w:sz w:val="22"/>
          <w:szCs w:val="22"/>
        </w:rPr>
        <w:t>it</w:t>
      </w:r>
      <w:r>
        <w:rPr>
          <w:spacing w:val="-12"/>
          <w:sz w:val="22"/>
          <w:szCs w:val="22"/>
        </w:rPr>
        <w:t xml:space="preserve"> </w:t>
      </w:r>
      <w:r>
        <w:rPr>
          <w:sz w:val="22"/>
          <w:szCs w:val="22"/>
        </w:rPr>
        <w:t>relates</w:t>
      </w:r>
      <w:r>
        <w:rPr>
          <w:spacing w:val="-14"/>
          <w:sz w:val="22"/>
          <w:szCs w:val="22"/>
        </w:rPr>
        <w:t xml:space="preserve"> </w:t>
      </w:r>
      <w:r>
        <w:rPr>
          <w:sz w:val="22"/>
          <w:szCs w:val="22"/>
        </w:rPr>
        <w:t>to</w:t>
      </w:r>
      <w:r>
        <w:rPr>
          <w:spacing w:val="-11"/>
          <w:sz w:val="22"/>
          <w:szCs w:val="22"/>
        </w:rPr>
        <w:t xml:space="preserve"> </w:t>
      </w:r>
      <w:r>
        <w:rPr>
          <w:sz w:val="22"/>
          <w:szCs w:val="22"/>
        </w:rPr>
        <w:t>the</w:t>
      </w:r>
      <w:r>
        <w:rPr>
          <w:spacing w:val="-12"/>
          <w:sz w:val="22"/>
          <w:szCs w:val="22"/>
        </w:rPr>
        <w:t xml:space="preserve"> </w:t>
      </w:r>
      <w:r>
        <w:rPr>
          <w:sz w:val="22"/>
          <w:szCs w:val="22"/>
        </w:rPr>
        <w:t>Processing</w:t>
      </w:r>
      <w:r>
        <w:rPr>
          <w:spacing w:val="-13"/>
          <w:sz w:val="22"/>
          <w:szCs w:val="22"/>
        </w:rPr>
        <w:t xml:space="preserve"> </w:t>
      </w:r>
      <w:r>
        <w:rPr>
          <w:sz w:val="22"/>
          <w:szCs w:val="22"/>
        </w:rPr>
        <w:t>of</w:t>
      </w:r>
      <w:r>
        <w:rPr>
          <w:spacing w:val="-11"/>
          <w:sz w:val="22"/>
          <w:szCs w:val="22"/>
        </w:rPr>
        <w:t xml:space="preserve"> </w:t>
      </w:r>
      <w:r>
        <w:rPr>
          <w:sz w:val="22"/>
          <w:szCs w:val="22"/>
        </w:rPr>
        <w:t>Customer Personal Data, the Customer shall inform DNAnexus in writing to enable DNAnexus to provide such information or grant the Customer access to</w:t>
      </w:r>
      <w:r>
        <w:rPr>
          <w:spacing w:val="-4"/>
          <w:sz w:val="22"/>
          <w:szCs w:val="22"/>
        </w:rPr>
        <w:t xml:space="preserve"> </w:t>
      </w:r>
      <w:r>
        <w:rPr>
          <w:sz w:val="22"/>
          <w:szCs w:val="22"/>
        </w:rPr>
        <w:t>it.</w:t>
      </w:r>
    </w:p>
    <w:p w14:paraId="38E989F8" w14:textId="77777777" w:rsidR="00181955" w:rsidRDefault="005D7F64" w:rsidP="00262553">
      <w:pPr>
        <w:pStyle w:val="ListParagraph"/>
        <w:numPr>
          <w:ilvl w:val="2"/>
          <w:numId w:val="1"/>
        </w:numPr>
        <w:tabs>
          <w:tab w:val="left" w:pos="1530"/>
        </w:tabs>
        <w:kinsoku w:val="0"/>
        <w:overflowPunct w:val="0"/>
        <w:spacing w:before="81"/>
        <w:ind w:right="102" w:firstLine="719"/>
        <w:rPr>
          <w:sz w:val="22"/>
          <w:szCs w:val="22"/>
        </w:rPr>
      </w:pPr>
      <w:r>
        <w:rPr>
          <w:sz w:val="22"/>
          <w:szCs w:val="22"/>
        </w:rPr>
        <w:t>To</w:t>
      </w:r>
      <w:r>
        <w:rPr>
          <w:spacing w:val="-17"/>
          <w:sz w:val="22"/>
          <w:szCs w:val="22"/>
        </w:rPr>
        <w:t xml:space="preserve"> </w:t>
      </w:r>
      <w:r>
        <w:rPr>
          <w:sz w:val="22"/>
          <w:szCs w:val="22"/>
        </w:rPr>
        <w:t>the</w:t>
      </w:r>
      <w:r>
        <w:rPr>
          <w:spacing w:val="-15"/>
          <w:sz w:val="22"/>
          <w:szCs w:val="22"/>
        </w:rPr>
        <w:t xml:space="preserve"> </w:t>
      </w:r>
      <w:r>
        <w:rPr>
          <w:sz w:val="22"/>
          <w:szCs w:val="22"/>
        </w:rPr>
        <w:t>extent</w:t>
      </w:r>
      <w:r>
        <w:rPr>
          <w:spacing w:val="-15"/>
          <w:sz w:val="22"/>
          <w:szCs w:val="22"/>
        </w:rPr>
        <w:t xml:space="preserve"> </w:t>
      </w:r>
      <w:r>
        <w:rPr>
          <w:sz w:val="22"/>
          <w:szCs w:val="22"/>
        </w:rPr>
        <w:t>it</w:t>
      </w:r>
      <w:r>
        <w:rPr>
          <w:spacing w:val="-17"/>
          <w:sz w:val="22"/>
          <w:szCs w:val="22"/>
        </w:rPr>
        <w:t xml:space="preserve"> </w:t>
      </w:r>
      <w:r>
        <w:rPr>
          <w:sz w:val="22"/>
          <w:szCs w:val="22"/>
        </w:rPr>
        <w:t>is</w:t>
      </w:r>
      <w:r>
        <w:rPr>
          <w:spacing w:val="-15"/>
          <w:sz w:val="22"/>
          <w:szCs w:val="22"/>
        </w:rPr>
        <w:t xml:space="preserve"> </w:t>
      </w:r>
      <w:r>
        <w:rPr>
          <w:sz w:val="22"/>
          <w:szCs w:val="22"/>
        </w:rPr>
        <w:t>not</w:t>
      </w:r>
      <w:r>
        <w:rPr>
          <w:spacing w:val="-16"/>
          <w:sz w:val="22"/>
          <w:szCs w:val="22"/>
        </w:rPr>
        <w:t xml:space="preserve"> </w:t>
      </w:r>
      <w:r>
        <w:rPr>
          <w:sz w:val="22"/>
          <w:szCs w:val="22"/>
        </w:rPr>
        <w:t>possible</w:t>
      </w:r>
      <w:r>
        <w:rPr>
          <w:spacing w:val="-15"/>
          <w:sz w:val="22"/>
          <w:szCs w:val="22"/>
        </w:rPr>
        <w:t xml:space="preserve"> </w:t>
      </w:r>
      <w:r>
        <w:rPr>
          <w:sz w:val="22"/>
          <w:szCs w:val="22"/>
        </w:rPr>
        <w:t>to</w:t>
      </w:r>
      <w:r>
        <w:rPr>
          <w:spacing w:val="-16"/>
          <w:sz w:val="22"/>
          <w:szCs w:val="22"/>
        </w:rPr>
        <w:t xml:space="preserve"> </w:t>
      </w:r>
      <w:r>
        <w:rPr>
          <w:sz w:val="22"/>
          <w:szCs w:val="22"/>
        </w:rPr>
        <w:t>otherwise</w:t>
      </w:r>
      <w:r>
        <w:rPr>
          <w:spacing w:val="-15"/>
          <w:sz w:val="22"/>
          <w:szCs w:val="22"/>
        </w:rPr>
        <w:t xml:space="preserve"> </w:t>
      </w:r>
      <w:r>
        <w:rPr>
          <w:sz w:val="22"/>
          <w:szCs w:val="22"/>
        </w:rPr>
        <w:t>satisfy</w:t>
      </w:r>
      <w:r>
        <w:rPr>
          <w:spacing w:val="-18"/>
          <w:sz w:val="22"/>
          <w:szCs w:val="22"/>
        </w:rPr>
        <w:t xml:space="preserve"> </w:t>
      </w:r>
      <w:r>
        <w:rPr>
          <w:sz w:val="22"/>
          <w:szCs w:val="22"/>
        </w:rPr>
        <w:t>an</w:t>
      </w:r>
      <w:r>
        <w:rPr>
          <w:spacing w:val="-16"/>
          <w:sz w:val="22"/>
          <w:szCs w:val="22"/>
        </w:rPr>
        <w:t xml:space="preserve"> </w:t>
      </w:r>
      <w:r>
        <w:rPr>
          <w:sz w:val="22"/>
          <w:szCs w:val="22"/>
        </w:rPr>
        <w:t>audit</w:t>
      </w:r>
      <w:r>
        <w:rPr>
          <w:spacing w:val="-15"/>
          <w:sz w:val="22"/>
          <w:szCs w:val="22"/>
        </w:rPr>
        <w:t xml:space="preserve"> </w:t>
      </w:r>
      <w:r>
        <w:rPr>
          <w:sz w:val="22"/>
          <w:szCs w:val="22"/>
        </w:rPr>
        <w:t>obligation</w:t>
      </w:r>
      <w:r>
        <w:rPr>
          <w:spacing w:val="-16"/>
          <w:sz w:val="22"/>
          <w:szCs w:val="22"/>
        </w:rPr>
        <w:t xml:space="preserve"> </w:t>
      </w:r>
      <w:r>
        <w:rPr>
          <w:sz w:val="22"/>
          <w:szCs w:val="22"/>
        </w:rPr>
        <w:t>mandated</w:t>
      </w:r>
      <w:r>
        <w:rPr>
          <w:spacing w:val="-16"/>
          <w:sz w:val="22"/>
          <w:szCs w:val="22"/>
        </w:rPr>
        <w:t xml:space="preserve"> </w:t>
      </w:r>
      <w:r>
        <w:rPr>
          <w:sz w:val="22"/>
          <w:szCs w:val="22"/>
        </w:rPr>
        <w:t>by</w:t>
      </w:r>
      <w:r>
        <w:rPr>
          <w:spacing w:val="-16"/>
          <w:sz w:val="22"/>
          <w:szCs w:val="22"/>
        </w:rPr>
        <w:t xml:space="preserve"> </w:t>
      </w:r>
      <w:r>
        <w:rPr>
          <w:sz w:val="22"/>
          <w:szCs w:val="22"/>
        </w:rPr>
        <w:t>applicable law, only legally mandated entities (such as a governmental regulatory agency having oversight of the Customer’s operations), the Customer or its mandated auditor may conduct an onsite</w:t>
      </w:r>
      <w:r w:rsidR="00BE7E13">
        <w:rPr>
          <w:sz w:val="22"/>
          <w:szCs w:val="22"/>
        </w:rPr>
        <w:t xml:space="preserve"> or virtual</w:t>
      </w:r>
      <w:r>
        <w:rPr>
          <w:sz w:val="22"/>
          <w:szCs w:val="22"/>
        </w:rPr>
        <w:t xml:space="preserve"> visit of the </w:t>
      </w:r>
      <w:r w:rsidR="00BE7E13">
        <w:rPr>
          <w:sz w:val="22"/>
          <w:szCs w:val="22"/>
        </w:rPr>
        <w:t xml:space="preserve">DNAnexus </w:t>
      </w:r>
      <w:r>
        <w:rPr>
          <w:sz w:val="22"/>
          <w:szCs w:val="22"/>
        </w:rPr>
        <w:t>facilities used to Process Customer Personal Data, during normal business hours and only in a manner that causes minimal</w:t>
      </w:r>
      <w:r>
        <w:rPr>
          <w:spacing w:val="-13"/>
          <w:sz w:val="22"/>
          <w:szCs w:val="22"/>
        </w:rPr>
        <w:t xml:space="preserve"> </w:t>
      </w:r>
      <w:r>
        <w:rPr>
          <w:sz w:val="22"/>
          <w:szCs w:val="22"/>
        </w:rPr>
        <w:t>disruption</w:t>
      </w:r>
      <w:r>
        <w:rPr>
          <w:spacing w:val="-14"/>
          <w:sz w:val="22"/>
          <w:szCs w:val="22"/>
        </w:rPr>
        <w:t xml:space="preserve"> </w:t>
      </w:r>
      <w:r>
        <w:rPr>
          <w:sz w:val="22"/>
          <w:szCs w:val="22"/>
        </w:rPr>
        <w:t>to</w:t>
      </w:r>
      <w:r>
        <w:rPr>
          <w:spacing w:val="-14"/>
          <w:sz w:val="22"/>
          <w:szCs w:val="22"/>
        </w:rPr>
        <w:t xml:space="preserve"> </w:t>
      </w:r>
      <w:r>
        <w:rPr>
          <w:sz w:val="22"/>
          <w:szCs w:val="22"/>
        </w:rPr>
        <w:t>DNAnexus’</w:t>
      </w:r>
      <w:r>
        <w:rPr>
          <w:spacing w:val="-13"/>
          <w:sz w:val="22"/>
          <w:szCs w:val="22"/>
        </w:rPr>
        <w:t xml:space="preserve"> </w:t>
      </w:r>
      <w:r>
        <w:rPr>
          <w:sz w:val="22"/>
          <w:szCs w:val="22"/>
        </w:rPr>
        <w:t>business,</w:t>
      </w:r>
      <w:r>
        <w:rPr>
          <w:spacing w:val="-14"/>
          <w:sz w:val="22"/>
          <w:szCs w:val="22"/>
        </w:rPr>
        <w:t xml:space="preserve"> </w:t>
      </w:r>
      <w:r>
        <w:rPr>
          <w:sz w:val="22"/>
          <w:szCs w:val="22"/>
        </w:rPr>
        <w:t>subject</w:t>
      </w:r>
      <w:r>
        <w:rPr>
          <w:spacing w:val="-16"/>
          <w:sz w:val="22"/>
          <w:szCs w:val="22"/>
        </w:rPr>
        <w:t xml:space="preserve"> </w:t>
      </w:r>
      <w:r>
        <w:rPr>
          <w:sz w:val="22"/>
          <w:szCs w:val="22"/>
        </w:rPr>
        <w:t>to</w:t>
      </w:r>
      <w:r>
        <w:rPr>
          <w:spacing w:val="-13"/>
          <w:sz w:val="22"/>
          <w:szCs w:val="22"/>
        </w:rPr>
        <w:t xml:space="preserve"> </w:t>
      </w:r>
      <w:r>
        <w:rPr>
          <w:sz w:val="22"/>
          <w:szCs w:val="22"/>
        </w:rPr>
        <w:t>coordinating</w:t>
      </w:r>
      <w:r>
        <w:rPr>
          <w:spacing w:val="-17"/>
          <w:sz w:val="22"/>
          <w:szCs w:val="22"/>
        </w:rPr>
        <w:t xml:space="preserve"> </w:t>
      </w:r>
      <w:r>
        <w:rPr>
          <w:sz w:val="22"/>
          <w:szCs w:val="22"/>
        </w:rPr>
        <w:t>the</w:t>
      </w:r>
      <w:r>
        <w:rPr>
          <w:spacing w:val="-15"/>
          <w:sz w:val="22"/>
          <w:szCs w:val="22"/>
        </w:rPr>
        <w:t xml:space="preserve"> </w:t>
      </w:r>
      <w:r>
        <w:rPr>
          <w:sz w:val="22"/>
          <w:szCs w:val="22"/>
        </w:rPr>
        <w:t>timing</w:t>
      </w:r>
      <w:r>
        <w:rPr>
          <w:spacing w:val="-17"/>
          <w:sz w:val="22"/>
          <w:szCs w:val="22"/>
        </w:rPr>
        <w:t xml:space="preserve"> </w:t>
      </w:r>
      <w:r>
        <w:rPr>
          <w:sz w:val="22"/>
          <w:szCs w:val="22"/>
        </w:rPr>
        <w:t>of</w:t>
      </w:r>
      <w:r>
        <w:rPr>
          <w:spacing w:val="-14"/>
          <w:sz w:val="22"/>
          <w:szCs w:val="22"/>
        </w:rPr>
        <w:t xml:space="preserve"> </w:t>
      </w:r>
      <w:r>
        <w:rPr>
          <w:sz w:val="22"/>
          <w:szCs w:val="22"/>
        </w:rPr>
        <w:t>such</w:t>
      </w:r>
      <w:r>
        <w:rPr>
          <w:spacing w:val="-13"/>
          <w:sz w:val="22"/>
          <w:szCs w:val="22"/>
        </w:rPr>
        <w:t xml:space="preserve"> </w:t>
      </w:r>
      <w:r>
        <w:rPr>
          <w:sz w:val="22"/>
          <w:szCs w:val="22"/>
        </w:rPr>
        <w:t>visit</w:t>
      </w:r>
      <w:r>
        <w:rPr>
          <w:spacing w:val="-16"/>
          <w:sz w:val="22"/>
          <w:szCs w:val="22"/>
        </w:rPr>
        <w:t xml:space="preserve"> </w:t>
      </w:r>
      <w:r>
        <w:rPr>
          <w:sz w:val="22"/>
          <w:szCs w:val="22"/>
        </w:rPr>
        <w:t>and</w:t>
      </w:r>
      <w:r>
        <w:rPr>
          <w:spacing w:val="-8"/>
          <w:sz w:val="22"/>
          <w:szCs w:val="22"/>
        </w:rPr>
        <w:t xml:space="preserve"> </w:t>
      </w:r>
      <w:r>
        <w:rPr>
          <w:sz w:val="22"/>
          <w:szCs w:val="22"/>
        </w:rPr>
        <w:t>in</w:t>
      </w:r>
      <w:r>
        <w:rPr>
          <w:spacing w:val="-14"/>
          <w:sz w:val="22"/>
          <w:szCs w:val="22"/>
        </w:rPr>
        <w:t xml:space="preserve"> </w:t>
      </w:r>
      <w:r>
        <w:rPr>
          <w:sz w:val="22"/>
          <w:szCs w:val="22"/>
        </w:rPr>
        <w:t>accordance with any audit procedures in the DPA Exhibit in order to reduce any risk to DNAnexus’ other</w:t>
      </w:r>
      <w:r w:rsidR="00181955">
        <w:rPr>
          <w:sz w:val="22"/>
          <w:szCs w:val="22"/>
        </w:rPr>
        <w:t xml:space="preserve"> </w:t>
      </w:r>
      <w:r>
        <w:rPr>
          <w:spacing w:val="-34"/>
          <w:sz w:val="22"/>
          <w:szCs w:val="22"/>
        </w:rPr>
        <w:t xml:space="preserve"> </w:t>
      </w:r>
      <w:r>
        <w:rPr>
          <w:sz w:val="22"/>
          <w:szCs w:val="22"/>
        </w:rPr>
        <w:t>customers.</w:t>
      </w:r>
      <w:r w:rsidR="00181955">
        <w:rPr>
          <w:sz w:val="22"/>
          <w:szCs w:val="22"/>
        </w:rPr>
        <w:t xml:space="preserve"> </w:t>
      </w:r>
    </w:p>
    <w:p w14:paraId="725ED020" w14:textId="4DBB152D" w:rsidR="005D7F64" w:rsidRDefault="00181955" w:rsidP="00262553">
      <w:pPr>
        <w:pStyle w:val="ListParagraph"/>
        <w:numPr>
          <w:ilvl w:val="2"/>
          <w:numId w:val="1"/>
        </w:numPr>
        <w:tabs>
          <w:tab w:val="left" w:pos="1530"/>
        </w:tabs>
        <w:kinsoku w:val="0"/>
        <w:overflowPunct w:val="0"/>
        <w:spacing w:before="81"/>
        <w:ind w:right="102" w:firstLine="719"/>
        <w:rPr>
          <w:sz w:val="22"/>
          <w:szCs w:val="22"/>
        </w:rPr>
      </w:pPr>
      <w:r>
        <w:rPr>
          <w:sz w:val="22"/>
          <w:szCs w:val="22"/>
        </w:rPr>
        <w:t xml:space="preserve">Where the Customer’s Auditor is a third-party, the Auditor may be required to execute a separate confidentiality agreement with DNAnexus prior to any review of Reports or an audit of DNAnexus, and DNAnexus may object in writing to such Auditor, if in </w:t>
      </w:r>
      <w:r w:rsidR="009061E4">
        <w:rPr>
          <w:sz w:val="22"/>
          <w:szCs w:val="22"/>
        </w:rPr>
        <w:t>DNAnexus</w:t>
      </w:r>
      <w:r>
        <w:rPr>
          <w:sz w:val="22"/>
          <w:szCs w:val="22"/>
        </w:rPr>
        <w:t xml:space="preserve">’ reasonable opinion, the Auditor is not suitably qualified or is a direct competitor of DNAnexus. Any such objection by </w:t>
      </w:r>
      <w:r w:rsidR="00797BD8">
        <w:rPr>
          <w:sz w:val="22"/>
          <w:szCs w:val="22"/>
        </w:rPr>
        <w:t>DNAnexus shall</w:t>
      </w:r>
      <w:r>
        <w:rPr>
          <w:sz w:val="22"/>
          <w:szCs w:val="22"/>
        </w:rPr>
        <w:t xml:space="preserve"> require the Customer to either appoint another Auditor or conduct the audit itself. Any expenses incurred by an Auditor in connection with </w:t>
      </w:r>
      <w:r w:rsidR="0004585A">
        <w:rPr>
          <w:sz w:val="22"/>
          <w:szCs w:val="22"/>
        </w:rPr>
        <w:t xml:space="preserve">any review of Reports or an audit shall be borne exclusively by the Auditor. For clarity, the exercise of audit rights under the SCCs shall be as described in this Section (Audit) and Customer agrees these rights are carried out on behalf of Customer and all relevant Third-Party Controllers, subject to the confidentiality and non-use restrictions of the Agreement. </w:t>
      </w:r>
    </w:p>
    <w:p w14:paraId="3A633E15" w14:textId="78E8E5C1" w:rsidR="00D52CD3" w:rsidRDefault="005D7F64" w:rsidP="00262553">
      <w:pPr>
        <w:pStyle w:val="ListParagraph"/>
        <w:numPr>
          <w:ilvl w:val="1"/>
          <w:numId w:val="1"/>
        </w:numPr>
        <w:tabs>
          <w:tab w:val="left" w:pos="829"/>
          <w:tab w:val="left" w:pos="1530"/>
        </w:tabs>
        <w:kinsoku w:val="0"/>
        <w:overflowPunct w:val="0"/>
        <w:spacing w:before="119"/>
        <w:ind w:left="107" w:right="101" w:firstLine="0"/>
        <w:rPr>
          <w:sz w:val="22"/>
          <w:szCs w:val="22"/>
        </w:rPr>
      </w:pPr>
      <w:r>
        <w:rPr>
          <w:sz w:val="22"/>
          <w:szCs w:val="22"/>
        </w:rPr>
        <w:t xml:space="preserve">Each party will bear its own costs in respect to Section 5.1 of this DPA. Any further assistance will be provided in accordance with Section 10.2 of this DPA. The Customer will be responsible for any fees charged by any </w:t>
      </w:r>
      <w:r>
        <w:rPr>
          <w:sz w:val="22"/>
          <w:szCs w:val="22"/>
        </w:rPr>
        <w:lastRenderedPageBreak/>
        <w:t>auditor appointed by the Customer to execute any such</w:t>
      </w:r>
      <w:r>
        <w:rPr>
          <w:spacing w:val="-15"/>
          <w:sz w:val="22"/>
          <w:szCs w:val="22"/>
        </w:rPr>
        <w:t xml:space="preserve"> </w:t>
      </w:r>
      <w:r>
        <w:rPr>
          <w:sz w:val="22"/>
          <w:szCs w:val="22"/>
        </w:rPr>
        <w:t>audit.</w:t>
      </w:r>
    </w:p>
    <w:p w14:paraId="0C51792F" w14:textId="77777777" w:rsidR="005D7F64" w:rsidRDefault="005D7F64">
      <w:pPr>
        <w:pStyle w:val="BodyText"/>
        <w:kinsoku w:val="0"/>
        <w:overflowPunct w:val="0"/>
        <w:spacing w:before="10"/>
        <w:ind w:left="0"/>
        <w:jc w:val="left"/>
        <w:rPr>
          <w:sz w:val="20"/>
          <w:szCs w:val="20"/>
        </w:rPr>
      </w:pPr>
    </w:p>
    <w:p w14:paraId="2CA2B37A" w14:textId="77777777" w:rsidR="005D7F64" w:rsidRDefault="005D7F64">
      <w:pPr>
        <w:pStyle w:val="Heading1"/>
        <w:numPr>
          <w:ilvl w:val="0"/>
          <w:numId w:val="1"/>
        </w:numPr>
        <w:tabs>
          <w:tab w:val="left" w:pos="829"/>
        </w:tabs>
        <w:kinsoku w:val="0"/>
        <w:overflowPunct w:val="0"/>
        <w:ind w:hanging="722"/>
      </w:pPr>
      <w:r>
        <w:t>RETURN OR DELETION OF CUSTOMER PERSONAL</w:t>
      </w:r>
      <w:r>
        <w:rPr>
          <w:spacing w:val="-8"/>
        </w:rPr>
        <w:t xml:space="preserve"> </w:t>
      </w:r>
      <w:r>
        <w:t>DATA</w:t>
      </w:r>
    </w:p>
    <w:p w14:paraId="78CC1A05" w14:textId="0A90B29D" w:rsidR="005D7F64" w:rsidRDefault="005D7F64">
      <w:pPr>
        <w:pStyle w:val="ListParagraph"/>
        <w:numPr>
          <w:ilvl w:val="1"/>
          <w:numId w:val="1"/>
        </w:numPr>
        <w:tabs>
          <w:tab w:val="left" w:pos="829"/>
        </w:tabs>
        <w:kinsoku w:val="0"/>
        <w:overflowPunct w:val="0"/>
        <w:ind w:left="107" w:right="102" w:firstLine="0"/>
        <w:rPr>
          <w:sz w:val="22"/>
          <w:szCs w:val="22"/>
        </w:rPr>
      </w:pPr>
      <w:r>
        <w:rPr>
          <w:sz w:val="22"/>
          <w:szCs w:val="22"/>
        </w:rPr>
        <w:t xml:space="preserve">Upon termination or expiration of the Agreement, </w:t>
      </w:r>
      <w:r w:rsidR="00797BD8">
        <w:rPr>
          <w:sz w:val="22"/>
          <w:szCs w:val="22"/>
        </w:rPr>
        <w:t>DNAnexus shall</w:t>
      </w:r>
      <w:r>
        <w:rPr>
          <w:sz w:val="22"/>
          <w:szCs w:val="22"/>
        </w:rPr>
        <w:t xml:space="preserve"> either delete or return the Customer Personal data in its possession as set out in the respective DPA Exhibit within a reasonable timeframe, unless otherwise required by applicable</w:t>
      </w:r>
      <w:r>
        <w:rPr>
          <w:spacing w:val="-6"/>
          <w:sz w:val="22"/>
          <w:szCs w:val="22"/>
        </w:rPr>
        <w:t xml:space="preserve"> </w:t>
      </w:r>
      <w:r>
        <w:rPr>
          <w:sz w:val="22"/>
          <w:szCs w:val="22"/>
        </w:rPr>
        <w:t>law.</w:t>
      </w:r>
    </w:p>
    <w:p w14:paraId="490F35B1" w14:textId="77777777" w:rsidR="005D7F64" w:rsidRDefault="005D7F64">
      <w:pPr>
        <w:pStyle w:val="BodyText"/>
        <w:kinsoku w:val="0"/>
        <w:overflowPunct w:val="0"/>
        <w:spacing w:before="10"/>
        <w:ind w:left="0"/>
        <w:jc w:val="left"/>
        <w:rPr>
          <w:sz w:val="20"/>
          <w:szCs w:val="20"/>
        </w:rPr>
      </w:pPr>
    </w:p>
    <w:p w14:paraId="678B9526" w14:textId="77777777" w:rsidR="005D7F64" w:rsidRDefault="005D7F64">
      <w:pPr>
        <w:pStyle w:val="Heading1"/>
        <w:numPr>
          <w:ilvl w:val="0"/>
          <w:numId w:val="1"/>
        </w:numPr>
        <w:tabs>
          <w:tab w:val="left" w:pos="829"/>
        </w:tabs>
        <w:kinsoku w:val="0"/>
        <w:overflowPunct w:val="0"/>
        <w:ind w:hanging="722"/>
      </w:pPr>
      <w:r>
        <w:t>SUBPROCESSORS</w:t>
      </w:r>
    </w:p>
    <w:p w14:paraId="3A4777A2" w14:textId="38120637" w:rsidR="00250254" w:rsidRDefault="00250254" w:rsidP="00250254">
      <w:pPr>
        <w:pStyle w:val="ListParagraph"/>
        <w:numPr>
          <w:ilvl w:val="1"/>
          <w:numId w:val="1"/>
        </w:numPr>
        <w:tabs>
          <w:tab w:val="left" w:pos="829"/>
        </w:tabs>
        <w:kinsoku w:val="0"/>
        <w:overflowPunct w:val="0"/>
        <w:spacing w:before="120"/>
        <w:ind w:left="107" w:right="101" w:firstLine="0"/>
        <w:rPr>
          <w:sz w:val="22"/>
          <w:szCs w:val="22"/>
        </w:rPr>
      </w:pPr>
      <w:r>
        <w:rPr>
          <w:sz w:val="22"/>
          <w:szCs w:val="22"/>
        </w:rPr>
        <w:t xml:space="preserve">The Customer provides DNAnexus with a general authorization to engage Sub-processors, subject to </w:t>
      </w:r>
      <w:r w:rsidR="00B37206">
        <w:rPr>
          <w:sz w:val="22"/>
          <w:szCs w:val="22"/>
        </w:rPr>
        <w:t>Annex I</w:t>
      </w:r>
      <w:r>
        <w:rPr>
          <w:sz w:val="22"/>
          <w:szCs w:val="22"/>
        </w:rPr>
        <w:t xml:space="preserve"> (Changes to Sub-processors), as well as DNAnexus’ current Sub-processors identified in Annex III of the </w:t>
      </w:r>
      <w:proofErr w:type="gramStart"/>
      <w:r>
        <w:rPr>
          <w:sz w:val="22"/>
          <w:szCs w:val="22"/>
        </w:rPr>
        <w:t>SCCs  as</w:t>
      </w:r>
      <w:proofErr w:type="gramEnd"/>
      <w:r>
        <w:rPr>
          <w:sz w:val="22"/>
          <w:szCs w:val="22"/>
        </w:rPr>
        <w:t xml:space="preserve"> of the effective date of this DPA. </w:t>
      </w:r>
      <w:r w:rsidRPr="00374669">
        <w:rPr>
          <w:sz w:val="22"/>
          <w:szCs w:val="22"/>
        </w:rPr>
        <w:t>For the avoidance of doubt, the above authorization constitutes Customer’s prior written consent to the sub-processing by DNAnexus for purposes of Clause 11 of the Standard Contractual Clauses</w:t>
      </w:r>
      <w:r w:rsidR="00B37206">
        <w:rPr>
          <w:sz w:val="22"/>
          <w:szCs w:val="22"/>
        </w:rPr>
        <w:t>.</w:t>
      </w:r>
    </w:p>
    <w:p w14:paraId="62C560EF" w14:textId="77777777" w:rsidR="00250254" w:rsidRDefault="00250254" w:rsidP="00250254">
      <w:pPr>
        <w:pStyle w:val="ListParagraph"/>
        <w:numPr>
          <w:ilvl w:val="1"/>
          <w:numId w:val="1"/>
        </w:numPr>
        <w:tabs>
          <w:tab w:val="left" w:pos="829"/>
        </w:tabs>
        <w:kinsoku w:val="0"/>
        <w:overflowPunct w:val="0"/>
        <w:spacing w:before="120"/>
        <w:ind w:left="107" w:right="101" w:firstLine="0"/>
        <w:rPr>
          <w:sz w:val="22"/>
          <w:szCs w:val="22"/>
        </w:rPr>
      </w:pPr>
      <w:r>
        <w:rPr>
          <w:sz w:val="22"/>
          <w:szCs w:val="22"/>
        </w:rPr>
        <w:t>Sub-Processor Obligations: DNAnexus shall (</w:t>
      </w:r>
      <w:proofErr w:type="spellStart"/>
      <w:r>
        <w:rPr>
          <w:sz w:val="22"/>
          <w:szCs w:val="22"/>
        </w:rPr>
        <w:t>i</w:t>
      </w:r>
      <w:proofErr w:type="spellEnd"/>
      <w:r>
        <w:rPr>
          <w:sz w:val="22"/>
          <w:szCs w:val="22"/>
        </w:rPr>
        <w:t>) enter into a written agreement with each Sub-Processor imposing data protection obligations no less protective of Customer Personal Data as DNAnexus’ obligations under this DPA to the extent applicable to the nature of the services provided by each Sub-process</w:t>
      </w:r>
      <w:r w:rsidR="00F26510">
        <w:rPr>
          <w:sz w:val="22"/>
          <w:szCs w:val="22"/>
        </w:rPr>
        <w:t>or</w:t>
      </w:r>
      <w:r>
        <w:rPr>
          <w:sz w:val="22"/>
          <w:szCs w:val="22"/>
        </w:rPr>
        <w:t>; and (ii) remain liable for each Sub-processor’s compliance with the obligations under this DPA. Upon written request, and subject to any confidentiality restrictions, DNAnexus shall provide the Customer all relevant information it reasonably can in connection with its applicable Sub-process</w:t>
      </w:r>
      <w:r w:rsidR="00F26510">
        <w:rPr>
          <w:sz w:val="22"/>
          <w:szCs w:val="22"/>
        </w:rPr>
        <w:t>or</w:t>
      </w:r>
      <w:r>
        <w:rPr>
          <w:sz w:val="22"/>
          <w:szCs w:val="22"/>
        </w:rPr>
        <w:t xml:space="preserve"> agreements where required to satisfy the Customer’s obligations under Data Protection Laws.</w:t>
      </w:r>
    </w:p>
    <w:p w14:paraId="49249DEB" w14:textId="41A09BE8" w:rsidR="005D7F64" w:rsidRPr="00250254" w:rsidRDefault="005D7F64" w:rsidP="00250254">
      <w:pPr>
        <w:pStyle w:val="ListParagraph"/>
        <w:numPr>
          <w:ilvl w:val="1"/>
          <w:numId w:val="1"/>
        </w:numPr>
        <w:tabs>
          <w:tab w:val="left" w:pos="829"/>
        </w:tabs>
        <w:kinsoku w:val="0"/>
        <w:overflowPunct w:val="0"/>
        <w:spacing w:before="122"/>
        <w:ind w:left="107" w:right="101" w:firstLine="0"/>
        <w:rPr>
          <w:sz w:val="22"/>
          <w:szCs w:val="22"/>
        </w:rPr>
      </w:pPr>
      <w:r w:rsidRPr="00250254">
        <w:rPr>
          <w:sz w:val="22"/>
          <w:szCs w:val="22"/>
        </w:rPr>
        <w:t xml:space="preserve">The Customer authorizes DNAnexus to engage </w:t>
      </w:r>
      <w:r w:rsidR="00250254" w:rsidRPr="00374669">
        <w:rPr>
          <w:sz w:val="22"/>
          <w:szCs w:val="22"/>
        </w:rPr>
        <w:t xml:space="preserve">new </w:t>
      </w:r>
      <w:r w:rsidRPr="00250254">
        <w:rPr>
          <w:sz w:val="22"/>
          <w:szCs w:val="22"/>
        </w:rPr>
        <w:t>subcontractors to Process Customer Personal Data (“</w:t>
      </w:r>
      <w:r w:rsidRPr="00250254">
        <w:rPr>
          <w:b/>
          <w:bCs/>
          <w:sz w:val="22"/>
          <w:szCs w:val="22"/>
        </w:rPr>
        <w:t>Sub</w:t>
      </w:r>
      <w:r w:rsidR="0013401A" w:rsidRPr="00250254">
        <w:rPr>
          <w:b/>
          <w:bCs/>
          <w:sz w:val="22"/>
          <w:szCs w:val="22"/>
        </w:rPr>
        <w:t>-</w:t>
      </w:r>
      <w:r w:rsidRPr="00250254">
        <w:rPr>
          <w:b/>
          <w:bCs/>
          <w:sz w:val="22"/>
          <w:szCs w:val="22"/>
        </w:rPr>
        <w:t>processors</w:t>
      </w:r>
      <w:r w:rsidRPr="00250254">
        <w:rPr>
          <w:sz w:val="22"/>
          <w:szCs w:val="22"/>
        </w:rPr>
        <w:t>”). A list of the current Sub</w:t>
      </w:r>
      <w:r w:rsidR="0013401A" w:rsidRPr="00250254">
        <w:rPr>
          <w:sz w:val="22"/>
          <w:szCs w:val="22"/>
        </w:rPr>
        <w:t>-</w:t>
      </w:r>
      <w:r w:rsidRPr="00250254">
        <w:rPr>
          <w:sz w:val="22"/>
          <w:szCs w:val="22"/>
        </w:rPr>
        <w:t xml:space="preserve">processors is set out in the respective DPA Exhibit. </w:t>
      </w:r>
      <w:r w:rsidR="00797BD8">
        <w:rPr>
          <w:sz w:val="22"/>
          <w:szCs w:val="22"/>
        </w:rPr>
        <w:t>DNAnexus shall</w:t>
      </w:r>
      <w:r w:rsidRPr="00250254">
        <w:rPr>
          <w:sz w:val="22"/>
          <w:szCs w:val="22"/>
        </w:rPr>
        <w:t xml:space="preserve"> notify</w:t>
      </w:r>
      <w:r w:rsidRPr="00250254">
        <w:rPr>
          <w:spacing w:val="-9"/>
          <w:sz w:val="22"/>
          <w:szCs w:val="22"/>
        </w:rPr>
        <w:t xml:space="preserve"> </w:t>
      </w:r>
      <w:r w:rsidRPr="00250254">
        <w:rPr>
          <w:sz w:val="22"/>
          <w:szCs w:val="22"/>
        </w:rPr>
        <w:t>the</w:t>
      </w:r>
      <w:r w:rsidRPr="00250254">
        <w:rPr>
          <w:spacing w:val="-5"/>
          <w:sz w:val="22"/>
          <w:szCs w:val="22"/>
        </w:rPr>
        <w:t xml:space="preserve"> </w:t>
      </w:r>
      <w:r w:rsidRPr="00250254">
        <w:rPr>
          <w:sz w:val="22"/>
          <w:szCs w:val="22"/>
        </w:rPr>
        <w:t>Customer</w:t>
      </w:r>
      <w:r w:rsidRPr="00250254">
        <w:rPr>
          <w:spacing w:val="-5"/>
          <w:sz w:val="22"/>
          <w:szCs w:val="22"/>
        </w:rPr>
        <w:t xml:space="preserve"> </w:t>
      </w:r>
      <w:r w:rsidRPr="00250254">
        <w:rPr>
          <w:sz w:val="22"/>
          <w:szCs w:val="22"/>
        </w:rPr>
        <w:t>in</w:t>
      </w:r>
      <w:r w:rsidRPr="00250254">
        <w:rPr>
          <w:spacing w:val="-5"/>
          <w:sz w:val="22"/>
          <w:szCs w:val="22"/>
        </w:rPr>
        <w:t xml:space="preserve"> </w:t>
      </w:r>
      <w:r w:rsidRPr="00250254">
        <w:rPr>
          <w:sz w:val="22"/>
          <w:szCs w:val="22"/>
        </w:rPr>
        <w:t>advance</w:t>
      </w:r>
      <w:r w:rsidRPr="00250254">
        <w:rPr>
          <w:spacing w:val="-6"/>
          <w:sz w:val="22"/>
          <w:szCs w:val="22"/>
        </w:rPr>
        <w:t xml:space="preserve"> </w:t>
      </w:r>
      <w:r w:rsidRPr="00250254">
        <w:rPr>
          <w:sz w:val="22"/>
          <w:szCs w:val="22"/>
        </w:rPr>
        <w:t>of</w:t>
      </w:r>
      <w:r w:rsidRPr="00250254">
        <w:rPr>
          <w:spacing w:val="-4"/>
          <w:sz w:val="22"/>
          <w:szCs w:val="22"/>
        </w:rPr>
        <w:t xml:space="preserve"> </w:t>
      </w:r>
      <w:r w:rsidRPr="00250254">
        <w:rPr>
          <w:sz w:val="22"/>
          <w:szCs w:val="22"/>
        </w:rPr>
        <w:t>any</w:t>
      </w:r>
      <w:r w:rsidRPr="00250254">
        <w:rPr>
          <w:spacing w:val="-8"/>
          <w:sz w:val="22"/>
          <w:szCs w:val="22"/>
        </w:rPr>
        <w:t xml:space="preserve"> </w:t>
      </w:r>
      <w:r w:rsidRPr="00250254">
        <w:rPr>
          <w:sz w:val="22"/>
          <w:szCs w:val="22"/>
        </w:rPr>
        <w:t>changes</w:t>
      </w:r>
      <w:r w:rsidRPr="00250254">
        <w:rPr>
          <w:spacing w:val="-1"/>
          <w:sz w:val="22"/>
          <w:szCs w:val="22"/>
        </w:rPr>
        <w:t xml:space="preserve"> </w:t>
      </w:r>
      <w:r w:rsidRPr="00250254">
        <w:rPr>
          <w:sz w:val="22"/>
          <w:szCs w:val="22"/>
        </w:rPr>
        <w:t>to</w:t>
      </w:r>
      <w:r w:rsidRPr="00250254">
        <w:rPr>
          <w:spacing w:val="-6"/>
          <w:sz w:val="22"/>
          <w:szCs w:val="22"/>
        </w:rPr>
        <w:t xml:space="preserve"> </w:t>
      </w:r>
      <w:r w:rsidRPr="00250254">
        <w:rPr>
          <w:sz w:val="22"/>
          <w:szCs w:val="22"/>
        </w:rPr>
        <w:t>the</w:t>
      </w:r>
      <w:r w:rsidRPr="00250254">
        <w:rPr>
          <w:spacing w:val="-5"/>
          <w:sz w:val="22"/>
          <w:szCs w:val="22"/>
        </w:rPr>
        <w:t xml:space="preserve"> </w:t>
      </w:r>
      <w:r w:rsidRPr="00250254">
        <w:rPr>
          <w:sz w:val="22"/>
          <w:szCs w:val="22"/>
        </w:rPr>
        <w:t>Sub</w:t>
      </w:r>
      <w:r w:rsidR="00250254" w:rsidRPr="00374669">
        <w:rPr>
          <w:sz w:val="22"/>
          <w:szCs w:val="22"/>
        </w:rPr>
        <w:t>-</w:t>
      </w:r>
      <w:r w:rsidRPr="00250254">
        <w:rPr>
          <w:sz w:val="22"/>
          <w:szCs w:val="22"/>
        </w:rPr>
        <w:t>processors</w:t>
      </w:r>
      <w:r w:rsidRPr="00250254">
        <w:rPr>
          <w:spacing w:val="-5"/>
          <w:sz w:val="22"/>
          <w:szCs w:val="22"/>
        </w:rPr>
        <w:t xml:space="preserve"> </w:t>
      </w:r>
      <w:r w:rsidRPr="00250254">
        <w:rPr>
          <w:sz w:val="22"/>
          <w:szCs w:val="22"/>
        </w:rPr>
        <w:t>as</w:t>
      </w:r>
      <w:r w:rsidRPr="00250254">
        <w:rPr>
          <w:spacing w:val="-4"/>
          <w:sz w:val="22"/>
          <w:szCs w:val="22"/>
        </w:rPr>
        <w:t xml:space="preserve"> </w:t>
      </w:r>
      <w:r w:rsidRPr="00250254">
        <w:rPr>
          <w:sz w:val="22"/>
          <w:szCs w:val="22"/>
        </w:rPr>
        <w:t>set</w:t>
      </w:r>
      <w:r w:rsidRPr="00250254">
        <w:rPr>
          <w:spacing w:val="-5"/>
          <w:sz w:val="22"/>
          <w:szCs w:val="22"/>
        </w:rPr>
        <w:t xml:space="preserve"> </w:t>
      </w:r>
      <w:r w:rsidRPr="00250254">
        <w:rPr>
          <w:sz w:val="22"/>
          <w:szCs w:val="22"/>
        </w:rPr>
        <w:t>out</w:t>
      </w:r>
      <w:r w:rsidRPr="00250254">
        <w:rPr>
          <w:spacing w:val="-7"/>
          <w:sz w:val="22"/>
          <w:szCs w:val="22"/>
        </w:rPr>
        <w:t xml:space="preserve"> </w:t>
      </w:r>
      <w:r w:rsidRPr="00250254">
        <w:rPr>
          <w:sz w:val="22"/>
          <w:szCs w:val="22"/>
        </w:rPr>
        <w:t>in</w:t>
      </w:r>
      <w:r w:rsidRPr="00250254">
        <w:rPr>
          <w:spacing w:val="-6"/>
          <w:sz w:val="22"/>
          <w:szCs w:val="22"/>
        </w:rPr>
        <w:t xml:space="preserve"> </w:t>
      </w:r>
      <w:r w:rsidRPr="00250254">
        <w:rPr>
          <w:sz w:val="22"/>
          <w:szCs w:val="22"/>
        </w:rPr>
        <w:t>the</w:t>
      </w:r>
      <w:r w:rsidRPr="00250254">
        <w:rPr>
          <w:spacing w:val="-5"/>
          <w:sz w:val="22"/>
          <w:szCs w:val="22"/>
        </w:rPr>
        <w:t xml:space="preserve"> </w:t>
      </w:r>
      <w:r w:rsidRPr="00250254">
        <w:rPr>
          <w:sz w:val="22"/>
          <w:szCs w:val="22"/>
        </w:rPr>
        <w:t>respective</w:t>
      </w:r>
      <w:r w:rsidRPr="00250254">
        <w:rPr>
          <w:spacing w:val="-6"/>
          <w:sz w:val="22"/>
          <w:szCs w:val="22"/>
        </w:rPr>
        <w:t xml:space="preserve"> </w:t>
      </w:r>
      <w:r w:rsidRPr="00250254">
        <w:rPr>
          <w:sz w:val="22"/>
          <w:szCs w:val="22"/>
        </w:rPr>
        <w:t>DPA</w:t>
      </w:r>
      <w:r w:rsidRPr="00250254">
        <w:rPr>
          <w:spacing w:val="-3"/>
          <w:sz w:val="22"/>
          <w:szCs w:val="22"/>
        </w:rPr>
        <w:t xml:space="preserve"> </w:t>
      </w:r>
      <w:r w:rsidRPr="00250254">
        <w:rPr>
          <w:sz w:val="22"/>
          <w:szCs w:val="22"/>
        </w:rPr>
        <w:t>Exhibit.</w:t>
      </w:r>
      <w:r w:rsidRPr="00250254">
        <w:rPr>
          <w:spacing w:val="-9"/>
          <w:sz w:val="22"/>
          <w:szCs w:val="22"/>
        </w:rPr>
        <w:t xml:space="preserve"> </w:t>
      </w:r>
      <w:r w:rsidRPr="00250254">
        <w:rPr>
          <w:sz w:val="22"/>
          <w:szCs w:val="22"/>
        </w:rPr>
        <w:t xml:space="preserve">Within </w:t>
      </w:r>
      <w:r w:rsidR="00ED2DD6">
        <w:rPr>
          <w:sz w:val="22"/>
          <w:szCs w:val="22"/>
        </w:rPr>
        <w:t>thirty (</w:t>
      </w:r>
      <w:r w:rsidRPr="00250254">
        <w:rPr>
          <w:sz w:val="22"/>
          <w:szCs w:val="22"/>
        </w:rPr>
        <w:t>30</w:t>
      </w:r>
      <w:r w:rsidR="00ED2DD6">
        <w:rPr>
          <w:sz w:val="22"/>
          <w:szCs w:val="22"/>
        </w:rPr>
        <w:t>)</w:t>
      </w:r>
      <w:r w:rsidRPr="00250254">
        <w:rPr>
          <w:sz w:val="22"/>
          <w:szCs w:val="22"/>
        </w:rPr>
        <w:t xml:space="preserve"> days after DNAnexus’ notification of the intended change, the Customer can object to the addition of a Subprocessor</w:t>
      </w:r>
      <w:r w:rsidRPr="00250254">
        <w:rPr>
          <w:spacing w:val="-3"/>
          <w:sz w:val="22"/>
          <w:szCs w:val="22"/>
        </w:rPr>
        <w:t xml:space="preserve"> </w:t>
      </w:r>
      <w:r w:rsidRPr="00250254">
        <w:rPr>
          <w:sz w:val="22"/>
          <w:szCs w:val="22"/>
        </w:rPr>
        <w:t>on</w:t>
      </w:r>
      <w:r w:rsidRPr="00250254">
        <w:rPr>
          <w:spacing w:val="-6"/>
          <w:sz w:val="22"/>
          <w:szCs w:val="22"/>
        </w:rPr>
        <w:t xml:space="preserve"> </w:t>
      </w:r>
      <w:r w:rsidRPr="00250254">
        <w:rPr>
          <w:sz w:val="22"/>
          <w:szCs w:val="22"/>
        </w:rPr>
        <w:t>the</w:t>
      </w:r>
      <w:r w:rsidRPr="00250254">
        <w:rPr>
          <w:spacing w:val="-3"/>
          <w:sz w:val="22"/>
          <w:szCs w:val="22"/>
        </w:rPr>
        <w:t xml:space="preserve"> </w:t>
      </w:r>
      <w:r w:rsidRPr="00250254">
        <w:rPr>
          <w:sz w:val="22"/>
          <w:szCs w:val="22"/>
        </w:rPr>
        <w:t>basis</w:t>
      </w:r>
      <w:r w:rsidRPr="00250254">
        <w:rPr>
          <w:spacing w:val="-3"/>
          <w:sz w:val="22"/>
          <w:szCs w:val="22"/>
        </w:rPr>
        <w:t xml:space="preserve"> </w:t>
      </w:r>
      <w:r w:rsidRPr="00250254">
        <w:rPr>
          <w:sz w:val="22"/>
          <w:szCs w:val="22"/>
        </w:rPr>
        <w:t>that</w:t>
      </w:r>
      <w:r w:rsidRPr="00250254">
        <w:rPr>
          <w:spacing w:val="-3"/>
          <w:sz w:val="22"/>
          <w:szCs w:val="22"/>
        </w:rPr>
        <w:t xml:space="preserve"> </w:t>
      </w:r>
      <w:r w:rsidRPr="00250254">
        <w:rPr>
          <w:sz w:val="22"/>
          <w:szCs w:val="22"/>
        </w:rPr>
        <w:t>such</w:t>
      </w:r>
      <w:r w:rsidRPr="00250254">
        <w:rPr>
          <w:spacing w:val="-3"/>
          <w:sz w:val="22"/>
          <w:szCs w:val="22"/>
        </w:rPr>
        <w:t xml:space="preserve"> </w:t>
      </w:r>
      <w:r w:rsidRPr="00250254">
        <w:rPr>
          <w:sz w:val="22"/>
          <w:szCs w:val="22"/>
        </w:rPr>
        <w:t>addition</w:t>
      </w:r>
      <w:r w:rsidRPr="00250254">
        <w:rPr>
          <w:spacing w:val="-4"/>
          <w:sz w:val="22"/>
          <w:szCs w:val="22"/>
        </w:rPr>
        <w:t xml:space="preserve"> </w:t>
      </w:r>
      <w:r w:rsidRPr="00250254">
        <w:rPr>
          <w:sz w:val="22"/>
          <w:szCs w:val="22"/>
        </w:rPr>
        <w:t>would</w:t>
      </w:r>
      <w:r w:rsidRPr="00250254">
        <w:rPr>
          <w:spacing w:val="-6"/>
          <w:sz w:val="22"/>
          <w:szCs w:val="22"/>
        </w:rPr>
        <w:t xml:space="preserve"> </w:t>
      </w:r>
      <w:r w:rsidRPr="00250254">
        <w:rPr>
          <w:sz w:val="22"/>
          <w:szCs w:val="22"/>
        </w:rPr>
        <w:t>cause</w:t>
      </w:r>
      <w:r w:rsidRPr="00250254">
        <w:rPr>
          <w:spacing w:val="-3"/>
          <w:sz w:val="22"/>
          <w:szCs w:val="22"/>
        </w:rPr>
        <w:t xml:space="preserve"> </w:t>
      </w:r>
      <w:r w:rsidRPr="00250254">
        <w:rPr>
          <w:sz w:val="22"/>
          <w:szCs w:val="22"/>
        </w:rPr>
        <w:t>the</w:t>
      </w:r>
      <w:r w:rsidRPr="00250254">
        <w:rPr>
          <w:spacing w:val="-3"/>
          <w:sz w:val="22"/>
          <w:szCs w:val="22"/>
        </w:rPr>
        <w:t xml:space="preserve"> </w:t>
      </w:r>
      <w:r w:rsidRPr="00250254">
        <w:rPr>
          <w:sz w:val="22"/>
          <w:szCs w:val="22"/>
        </w:rPr>
        <w:t>Customer</w:t>
      </w:r>
      <w:r w:rsidRPr="00250254">
        <w:rPr>
          <w:spacing w:val="-3"/>
          <w:sz w:val="22"/>
          <w:szCs w:val="22"/>
        </w:rPr>
        <w:t xml:space="preserve"> </w:t>
      </w:r>
      <w:r w:rsidRPr="00250254">
        <w:rPr>
          <w:sz w:val="22"/>
          <w:szCs w:val="22"/>
        </w:rPr>
        <w:t>to</w:t>
      </w:r>
      <w:r w:rsidRPr="00250254">
        <w:rPr>
          <w:spacing w:val="-3"/>
          <w:sz w:val="22"/>
          <w:szCs w:val="22"/>
        </w:rPr>
        <w:t xml:space="preserve"> </w:t>
      </w:r>
      <w:r w:rsidRPr="00250254">
        <w:rPr>
          <w:sz w:val="22"/>
          <w:szCs w:val="22"/>
        </w:rPr>
        <w:t>violate</w:t>
      </w:r>
      <w:r w:rsidRPr="00250254">
        <w:rPr>
          <w:spacing w:val="-6"/>
          <w:sz w:val="22"/>
          <w:szCs w:val="22"/>
        </w:rPr>
        <w:t xml:space="preserve"> </w:t>
      </w:r>
      <w:r w:rsidRPr="00250254">
        <w:rPr>
          <w:sz w:val="22"/>
          <w:szCs w:val="22"/>
        </w:rPr>
        <w:t>applicable</w:t>
      </w:r>
      <w:r w:rsidRPr="00250254">
        <w:rPr>
          <w:spacing w:val="-6"/>
          <w:sz w:val="22"/>
          <w:szCs w:val="22"/>
        </w:rPr>
        <w:t xml:space="preserve"> </w:t>
      </w:r>
      <w:r w:rsidRPr="00250254">
        <w:rPr>
          <w:sz w:val="22"/>
          <w:szCs w:val="22"/>
        </w:rPr>
        <w:t>legal</w:t>
      </w:r>
      <w:r w:rsidRPr="00250254">
        <w:rPr>
          <w:spacing w:val="-5"/>
          <w:sz w:val="22"/>
          <w:szCs w:val="22"/>
        </w:rPr>
        <w:t xml:space="preserve"> </w:t>
      </w:r>
      <w:r w:rsidRPr="00250254">
        <w:rPr>
          <w:sz w:val="22"/>
          <w:szCs w:val="22"/>
        </w:rPr>
        <w:t>requirements.</w:t>
      </w:r>
      <w:r w:rsidRPr="00250254">
        <w:rPr>
          <w:spacing w:val="-5"/>
          <w:sz w:val="22"/>
          <w:szCs w:val="22"/>
        </w:rPr>
        <w:t xml:space="preserve"> </w:t>
      </w:r>
      <w:r w:rsidRPr="00250254">
        <w:rPr>
          <w:sz w:val="22"/>
          <w:szCs w:val="22"/>
        </w:rPr>
        <w:t>The Customer’s</w:t>
      </w:r>
      <w:r w:rsidRPr="00250254">
        <w:rPr>
          <w:spacing w:val="-7"/>
          <w:sz w:val="22"/>
          <w:szCs w:val="22"/>
        </w:rPr>
        <w:t xml:space="preserve"> </w:t>
      </w:r>
      <w:r w:rsidRPr="00250254">
        <w:rPr>
          <w:sz w:val="22"/>
          <w:szCs w:val="22"/>
        </w:rPr>
        <w:t>objection</w:t>
      </w:r>
      <w:r w:rsidRPr="00250254">
        <w:rPr>
          <w:spacing w:val="-6"/>
          <w:sz w:val="22"/>
          <w:szCs w:val="22"/>
        </w:rPr>
        <w:t xml:space="preserve"> </w:t>
      </w:r>
      <w:r w:rsidRPr="00250254">
        <w:rPr>
          <w:sz w:val="22"/>
          <w:szCs w:val="22"/>
        </w:rPr>
        <w:t>shall</w:t>
      </w:r>
      <w:r w:rsidRPr="00250254">
        <w:rPr>
          <w:spacing w:val="-7"/>
          <w:sz w:val="22"/>
          <w:szCs w:val="22"/>
        </w:rPr>
        <w:t xml:space="preserve"> </w:t>
      </w:r>
      <w:r w:rsidRPr="00250254">
        <w:rPr>
          <w:sz w:val="22"/>
          <w:szCs w:val="22"/>
        </w:rPr>
        <w:t>be</w:t>
      </w:r>
      <w:r w:rsidRPr="00250254">
        <w:rPr>
          <w:spacing w:val="-4"/>
          <w:sz w:val="22"/>
          <w:szCs w:val="22"/>
        </w:rPr>
        <w:t xml:space="preserve"> </w:t>
      </w:r>
      <w:r w:rsidRPr="00250254">
        <w:rPr>
          <w:sz w:val="22"/>
          <w:szCs w:val="22"/>
        </w:rPr>
        <w:t>in</w:t>
      </w:r>
      <w:r w:rsidRPr="00250254">
        <w:rPr>
          <w:spacing w:val="-6"/>
          <w:sz w:val="22"/>
          <w:szCs w:val="22"/>
        </w:rPr>
        <w:t xml:space="preserve"> </w:t>
      </w:r>
      <w:r w:rsidRPr="00250254">
        <w:rPr>
          <w:sz w:val="22"/>
          <w:szCs w:val="22"/>
        </w:rPr>
        <w:t>writing</w:t>
      </w:r>
      <w:r w:rsidRPr="00250254">
        <w:rPr>
          <w:spacing w:val="-6"/>
          <w:sz w:val="22"/>
          <w:szCs w:val="22"/>
        </w:rPr>
        <w:t xml:space="preserve"> </w:t>
      </w:r>
      <w:r w:rsidRPr="00250254">
        <w:rPr>
          <w:sz w:val="22"/>
          <w:szCs w:val="22"/>
        </w:rPr>
        <w:t>and</w:t>
      </w:r>
      <w:r w:rsidRPr="00250254">
        <w:rPr>
          <w:spacing w:val="-4"/>
          <w:sz w:val="22"/>
          <w:szCs w:val="22"/>
        </w:rPr>
        <w:t xml:space="preserve"> </w:t>
      </w:r>
      <w:r w:rsidRPr="00250254">
        <w:rPr>
          <w:sz w:val="22"/>
          <w:szCs w:val="22"/>
        </w:rPr>
        <w:t>include</w:t>
      </w:r>
      <w:r w:rsidRPr="00250254">
        <w:rPr>
          <w:spacing w:val="-6"/>
          <w:sz w:val="22"/>
          <w:szCs w:val="22"/>
        </w:rPr>
        <w:t xml:space="preserve"> </w:t>
      </w:r>
      <w:r w:rsidRPr="00250254">
        <w:rPr>
          <w:sz w:val="22"/>
          <w:szCs w:val="22"/>
        </w:rPr>
        <w:t>the</w:t>
      </w:r>
      <w:r w:rsidRPr="00250254">
        <w:rPr>
          <w:spacing w:val="-3"/>
          <w:sz w:val="22"/>
          <w:szCs w:val="22"/>
        </w:rPr>
        <w:t xml:space="preserve"> </w:t>
      </w:r>
      <w:r w:rsidRPr="00250254">
        <w:rPr>
          <w:sz w:val="22"/>
          <w:szCs w:val="22"/>
        </w:rPr>
        <w:t>Customer’s</w:t>
      </w:r>
      <w:r w:rsidRPr="00250254">
        <w:rPr>
          <w:spacing w:val="-4"/>
          <w:sz w:val="22"/>
          <w:szCs w:val="22"/>
        </w:rPr>
        <w:t xml:space="preserve"> </w:t>
      </w:r>
      <w:r w:rsidRPr="00250254">
        <w:rPr>
          <w:sz w:val="22"/>
          <w:szCs w:val="22"/>
        </w:rPr>
        <w:t>specific</w:t>
      </w:r>
      <w:r w:rsidRPr="00250254">
        <w:rPr>
          <w:spacing w:val="-6"/>
          <w:sz w:val="22"/>
          <w:szCs w:val="22"/>
        </w:rPr>
        <w:t xml:space="preserve"> </w:t>
      </w:r>
      <w:r w:rsidRPr="00250254">
        <w:rPr>
          <w:sz w:val="22"/>
          <w:szCs w:val="22"/>
        </w:rPr>
        <w:t>reasons</w:t>
      </w:r>
      <w:r w:rsidRPr="00250254">
        <w:rPr>
          <w:spacing w:val="-4"/>
          <w:sz w:val="22"/>
          <w:szCs w:val="22"/>
        </w:rPr>
        <w:t xml:space="preserve"> </w:t>
      </w:r>
      <w:r w:rsidRPr="00250254">
        <w:rPr>
          <w:sz w:val="22"/>
          <w:szCs w:val="22"/>
        </w:rPr>
        <w:t>for</w:t>
      </w:r>
      <w:r w:rsidRPr="00250254">
        <w:rPr>
          <w:spacing w:val="-5"/>
          <w:sz w:val="22"/>
          <w:szCs w:val="22"/>
        </w:rPr>
        <w:t xml:space="preserve"> </w:t>
      </w:r>
      <w:r w:rsidRPr="00250254">
        <w:rPr>
          <w:sz w:val="22"/>
          <w:szCs w:val="22"/>
        </w:rPr>
        <w:t>the</w:t>
      </w:r>
      <w:r w:rsidRPr="00250254">
        <w:rPr>
          <w:spacing w:val="-3"/>
          <w:sz w:val="22"/>
          <w:szCs w:val="22"/>
        </w:rPr>
        <w:t xml:space="preserve"> </w:t>
      </w:r>
      <w:r w:rsidRPr="00250254">
        <w:rPr>
          <w:sz w:val="22"/>
          <w:szCs w:val="22"/>
        </w:rPr>
        <w:t>objection</w:t>
      </w:r>
      <w:r w:rsidRPr="00250254">
        <w:rPr>
          <w:spacing w:val="-7"/>
          <w:sz w:val="22"/>
          <w:szCs w:val="22"/>
        </w:rPr>
        <w:t xml:space="preserve"> </w:t>
      </w:r>
      <w:r w:rsidRPr="00250254">
        <w:rPr>
          <w:sz w:val="22"/>
          <w:szCs w:val="22"/>
        </w:rPr>
        <w:t>and</w:t>
      </w:r>
      <w:r w:rsidRPr="00250254">
        <w:rPr>
          <w:spacing w:val="-3"/>
          <w:sz w:val="22"/>
          <w:szCs w:val="22"/>
        </w:rPr>
        <w:t xml:space="preserve"> </w:t>
      </w:r>
      <w:r w:rsidRPr="00250254">
        <w:rPr>
          <w:sz w:val="22"/>
          <w:szCs w:val="22"/>
        </w:rPr>
        <w:t>options</w:t>
      </w:r>
      <w:r w:rsidRPr="00250254">
        <w:rPr>
          <w:spacing w:val="-5"/>
          <w:sz w:val="22"/>
          <w:szCs w:val="22"/>
        </w:rPr>
        <w:t xml:space="preserve"> </w:t>
      </w:r>
      <w:r w:rsidRPr="00250254">
        <w:rPr>
          <w:sz w:val="22"/>
          <w:szCs w:val="22"/>
        </w:rPr>
        <w:t>to mitigate, if any. If the Customer does not object within such period, the respective Subprocessor may be commissioned to Process Customer Personal Data. DNAnexus shall impose the same data Processing obligations as set forth in this DPA on any approved Subprocessor prior to the Subprocessor Processing any Customer Personal Data.</w:t>
      </w:r>
    </w:p>
    <w:p w14:paraId="1CCB2C32" w14:textId="6C816D45" w:rsidR="005D7F64" w:rsidRDefault="005D7F64">
      <w:pPr>
        <w:pStyle w:val="ListParagraph"/>
        <w:numPr>
          <w:ilvl w:val="1"/>
          <w:numId w:val="1"/>
        </w:numPr>
        <w:tabs>
          <w:tab w:val="left" w:pos="829"/>
        </w:tabs>
        <w:kinsoku w:val="0"/>
        <w:overflowPunct w:val="0"/>
        <w:spacing w:before="120"/>
        <w:ind w:left="107" w:right="101" w:firstLine="0"/>
        <w:rPr>
          <w:sz w:val="22"/>
          <w:szCs w:val="22"/>
        </w:rPr>
      </w:pPr>
      <w:r>
        <w:rPr>
          <w:sz w:val="22"/>
          <w:szCs w:val="22"/>
        </w:rPr>
        <w:t xml:space="preserve">If the Customer legitimately objects to the change of a Subprocessor and DNAnexus cannot reasonably accommodate the Customer’s objection, </w:t>
      </w:r>
      <w:r w:rsidR="00797BD8">
        <w:rPr>
          <w:sz w:val="22"/>
          <w:szCs w:val="22"/>
        </w:rPr>
        <w:t>DNAnexus shall</w:t>
      </w:r>
      <w:r>
        <w:rPr>
          <w:sz w:val="22"/>
          <w:szCs w:val="22"/>
        </w:rPr>
        <w:t xml:space="preserve"> notify the Customer. The Customer or DNAnexus may terminate the affected Services by providing the other party with a written notice within one month of termination. </w:t>
      </w:r>
      <w:r w:rsidR="00797BD8">
        <w:rPr>
          <w:sz w:val="22"/>
          <w:szCs w:val="22"/>
        </w:rPr>
        <w:t>DNAnexus shall</w:t>
      </w:r>
      <w:r>
        <w:rPr>
          <w:sz w:val="22"/>
          <w:szCs w:val="22"/>
        </w:rPr>
        <w:t xml:space="preserve"> refund a prorated portion of any pre-paid charges for the period after such termination date. The Customer is responsible for removing its data prior to</w:t>
      </w:r>
      <w:r>
        <w:rPr>
          <w:spacing w:val="-10"/>
          <w:sz w:val="22"/>
          <w:szCs w:val="22"/>
        </w:rPr>
        <w:t xml:space="preserve"> </w:t>
      </w:r>
      <w:r>
        <w:rPr>
          <w:sz w:val="22"/>
          <w:szCs w:val="22"/>
        </w:rPr>
        <w:t>termination.</w:t>
      </w:r>
    </w:p>
    <w:p w14:paraId="61F34508" w14:textId="77777777" w:rsidR="005D7F64" w:rsidRDefault="005D7F64">
      <w:pPr>
        <w:pStyle w:val="BodyText"/>
        <w:kinsoku w:val="0"/>
        <w:overflowPunct w:val="0"/>
        <w:spacing w:before="10"/>
        <w:ind w:left="0"/>
        <w:jc w:val="left"/>
        <w:rPr>
          <w:sz w:val="20"/>
          <w:szCs w:val="20"/>
        </w:rPr>
      </w:pPr>
    </w:p>
    <w:p w14:paraId="4CAC1F51" w14:textId="77777777" w:rsidR="005C161F" w:rsidRDefault="005C161F">
      <w:pPr>
        <w:pStyle w:val="Heading1"/>
        <w:numPr>
          <w:ilvl w:val="0"/>
          <w:numId w:val="1"/>
        </w:numPr>
        <w:tabs>
          <w:tab w:val="left" w:pos="829"/>
        </w:tabs>
        <w:kinsoku w:val="0"/>
        <w:overflowPunct w:val="0"/>
        <w:ind w:hanging="722"/>
      </w:pPr>
      <w:r>
        <w:t>SECURITY</w:t>
      </w:r>
    </w:p>
    <w:p w14:paraId="023A5759" w14:textId="77777777" w:rsidR="00F852F3" w:rsidRPr="00374669" w:rsidRDefault="00F852F3" w:rsidP="00374669"/>
    <w:p w14:paraId="0A769C98" w14:textId="77777777" w:rsidR="005C161F" w:rsidRDefault="005E73EE" w:rsidP="00374669">
      <w:pPr>
        <w:numPr>
          <w:ilvl w:val="1"/>
          <w:numId w:val="1"/>
        </w:numPr>
        <w:spacing w:after="120"/>
        <w:ind w:left="100" w:hanging="14"/>
        <w:jc w:val="both"/>
      </w:pPr>
      <w:r>
        <w:rPr>
          <w:u w:val="single"/>
        </w:rPr>
        <w:t xml:space="preserve">Security </w:t>
      </w:r>
      <w:r w:rsidRPr="005E73EE">
        <w:rPr>
          <w:u w:val="single"/>
        </w:rPr>
        <w:t>Measures</w:t>
      </w:r>
      <w:r>
        <w:t xml:space="preserve">: </w:t>
      </w:r>
      <w:r w:rsidR="005C161F" w:rsidRPr="005E73EE">
        <w:t>DNAnexus</w:t>
      </w:r>
      <w:r w:rsidR="005C161F">
        <w:t xml:space="preserve"> shall implement and maintain appropriate technical </w:t>
      </w:r>
      <w:r w:rsidR="00EF4813">
        <w:t>and organizational security measures designed to protect Customer Personal Data from Security Incidents in accordance with the DNAnexus’ security controls described in Annex II of the SCCs and attached to this DPA. DNAnexus may review and update this Annex II from time to time, provided these updates shall not materially diminish the overall security of the Services or Customer Personal Data.</w:t>
      </w:r>
    </w:p>
    <w:p w14:paraId="03623263" w14:textId="76E5BC32" w:rsidR="005E73EE" w:rsidRDefault="005E73EE" w:rsidP="00374669">
      <w:pPr>
        <w:numPr>
          <w:ilvl w:val="1"/>
          <w:numId w:val="1"/>
        </w:numPr>
        <w:spacing w:after="120"/>
        <w:ind w:left="100" w:hanging="14"/>
        <w:jc w:val="both"/>
      </w:pPr>
      <w:r>
        <w:rPr>
          <w:u w:val="single"/>
        </w:rPr>
        <w:t>Confidentiality of Processing</w:t>
      </w:r>
      <w:r>
        <w:t xml:space="preserve">: DNAnexus shall ensure that any person who is </w:t>
      </w:r>
      <w:proofErr w:type="spellStart"/>
      <w:r w:rsidR="00FF4A7E">
        <w:t>authorised</w:t>
      </w:r>
      <w:proofErr w:type="spellEnd"/>
      <w:r>
        <w:t xml:space="preserve"> by DNAnexus to Process Customer Personal Data (including its employees, contingent workers and subcontractors) shall be under an appropriate obligation of confidentiality (whether a contractual or statutory duty).</w:t>
      </w:r>
    </w:p>
    <w:p w14:paraId="6933B829" w14:textId="77777777" w:rsidR="005E73EE" w:rsidRDefault="005E73EE" w:rsidP="00374669">
      <w:pPr>
        <w:numPr>
          <w:ilvl w:val="1"/>
          <w:numId w:val="1"/>
        </w:numPr>
        <w:spacing w:after="120"/>
        <w:ind w:left="100" w:hanging="14"/>
        <w:jc w:val="both"/>
      </w:pPr>
      <w:r>
        <w:rPr>
          <w:u w:val="single"/>
        </w:rPr>
        <w:t>No Assessment of Customer Personal Data by DNAnexus</w:t>
      </w:r>
      <w:r>
        <w:t>: DNAnexus shall have no obligation to assess the contents or accuracy of Customer Personal Data, including to identify information subject to any specific legal, regulatory, or other requirement. Customer is responsible for reviewing the information made available by DNAnexus relating to data security and making an independent determination as to whether the Services meet the Customer’s requirements and legal obligations under the applicable Data Protection Laws.</w:t>
      </w:r>
    </w:p>
    <w:p w14:paraId="002CDF94" w14:textId="77777777" w:rsidR="005C161F" w:rsidRPr="005C161F" w:rsidRDefault="005C161F" w:rsidP="00374669"/>
    <w:p w14:paraId="5489ECB5" w14:textId="77777777" w:rsidR="008D17D9" w:rsidRDefault="008D17D9" w:rsidP="00374669">
      <w:pPr>
        <w:pStyle w:val="Heading1"/>
        <w:numPr>
          <w:ilvl w:val="0"/>
          <w:numId w:val="1"/>
        </w:numPr>
        <w:tabs>
          <w:tab w:val="left" w:pos="829"/>
        </w:tabs>
        <w:kinsoku w:val="0"/>
        <w:overflowPunct w:val="0"/>
        <w:spacing w:after="120"/>
        <w:ind w:hanging="722"/>
      </w:pPr>
      <w:r>
        <w:t>SECURITY INCIDENT RESPONSE</w:t>
      </w:r>
    </w:p>
    <w:p w14:paraId="30F15396" w14:textId="77777777" w:rsidR="008D17D9" w:rsidRDefault="008D17D9" w:rsidP="00262553">
      <w:pPr>
        <w:numPr>
          <w:ilvl w:val="1"/>
          <w:numId w:val="1"/>
        </w:numPr>
        <w:spacing w:after="120"/>
        <w:ind w:hanging="18"/>
        <w:jc w:val="both"/>
      </w:pPr>
      <w:r>
        <w:rPr>
          <w:u w:val="single"/>
        </w:rPr>
        <w:t>Security Incident Reporting</w:t>
      </w:r>
      <w:r w:rsidR="002F2A6A">
        <w:t xml:space="preserve">: If DNAnexus becomes aware of a Security Incident, DNAnexus will notify the </w:t>
      </w:r>
      <w:r w:rsidR="002F2A6A">
        <w:lastRenderedPageBreak/>
        <w:t>Customer without undue delay, and in any case, where feasible, notify the Customer within seventy-two (72) hours after becoming aware. DNAnexus’ notification shall be sent to the email registered by the Customer within the Service for such purposes, and where no such email is registered, the Customer acknowledges that the means of notification shall be a DNAnexus’ reasonable discretion and DNAnexus’ ability to timely notify shall be negatively impacted. DNAnexus shall promptly take reasonable steps to contain, investigate, and mitigate any Security Incident.</w:t>
      </w:r>
    </w:p>
    <w:p w14:paraId="35206EE5" w14:textId="77777777" w:rsidR="002F2A6A" w:rsidRPr="008D17D9" w:rsidRDefault="002F2A6A" w:rsidP="00262553">
      <w:pPr>
        <w:numPr>
          <w:ilvl w:val="1"/>
          <w:numId w:val="1"/>
        </w:numPr>
        <w:spacing w:after="120"/>
        <w:ind w:hanging="18"/>
        <w:jc w:val="both"/>
      </w:pPr>
      <w:r>
        <w:rPr>
          <w:u w:val="single"/>
        </w:rPr>
        <w:t>Security Incident Communications</w:t>
      </w:r>
      <w:r>
        <w:t xml:space="preserve">: </w:t>
      </w:r>
      <w:r w:rsidR="007577DB">
        <w:t xml:space="preserve">DNAnexus shall provide the Customer with timely information about the Security Incident, the status of DNAnexus’ investigation, a contact point from which additional information may be obtained, and the categories and approximate number of data objects concerned. Notwithstanding the foregoing, the Customer acknowledges that because DNAnexus does not have visibility to the content of the Customer Personal Data, it will be unlikely that DNAnexus can provide information as to the </w:t>
      </w:r>
      <w:proofErr w:type="gramStart"/>
      <w:r w:rsidR="007577DB">
        <w:t>particular nature</w:t>
      </w:r>
      <w:proofErr w:type="gramEnd"/>
      <w:r w:rsidR="007577DB">
        <w:t xml:space="preserve"> of the Customer Personal Data, or where applicable, the identities, number of categories of the affected Data Subjects. Communications by or on behalf of DNAnexus with the Customer in connection with a Security Incident shall not be construed as an acknowledgement of any fault or liability with respect to the Security Incident.</w:t>
      </w:r>
    </w:p>
    <w:p w14:paraId="384B1305" w14:textId="77777777" w:rsidR="005D7F64" w:rsidRDefault="005D7F64">
      <w:pPr>
        <w:pStyle w:val="Heading1"/>
        <w:numPr>
          <w:ilvl w:val="0"/>
          <w:numId w:val="1"/>
        </w:numPr>
        <w:tabs>
          <w:tab w:val="left" w:pos="829"/>
        </w:tabs>
        <w:kinsoku w:val="0"/>
        <w:overflowPunct w:val="0"/>
        <w:ind w:hanging="722"/>
      </w:pPr>
      <w:r>
        <w:t>TRANSBORDER DATA</w:t>
      </w:r>
      <w:r>
        <w:rPr>
          <w:spacing w:val="-1"/>
        </w:rPr>
        <w:t xml:space="preserve"> </w:t>
      </w:r>
      <w:r>
        <w:t>PROCESSING</w:t>
      </w:r>
    </w:p>
    <w:p w14:paraId="332579C3" w14:textId="495ACCC4" w:rsidR="005D7F64" w:rsidRDefault="005D7F64" w:rsidP="005D3349">
      <w:pPr>
        <w:pStyle w:val="ListParagraph"/>
        <w:numPr>
          <w:ilvl w:val="1"/>
          <w:numId w:val="1"/>
        </w:numPr>
        <w:tabs>
          <w:tab w:val="left" w:pos="829"/>
        </w:tabs>
        <w:kinsoku w:val="0"/>
        <w:overflowPunct w:val="0"/>
        <w:spacing w:before="119"/>
        <w:ind w:left="107" w:right="105" w:firstLine="0"/>
        <w:rPr>
          <w:sz w:val="22"/>
          <w:szCs w:val="22"/>
        </w:rPr>
      </w:pPr>
      <w:bookmarkStart w:id="2" w:name="_Ref98414186"/>
      <w:r w:rsidRPr="005D3349">
        <w:rPr>
          <w:sz w:val="22"/>
          <w:szCs w:val="22"/>
        </w:rPr>
        <w:t>In connection with the performance of the Agreement, Customer authorizes DNAnexus to transfer Personal Data from the European Economic Area (“</w:t>
      </w:r>
      <w:r w:rsidRPr="005D3349">
        <w:rPr>
          <w:b/>
          <w:bCs/>
          <w:sz w:val="22"/>
          <w:szCs w:val="22"/>
        </w:rPr>
        <w:t>EEA</w:t>
      </w:r>
      <w:r w:rsidRPr="005D3349">
        <w:rPr>
          <w:sz w:val="22"/>
          <w:szCs w:val="22"/>
        </w:rPr>
        <w:t>”)</w:t>
      </w:r>
      <w:r w:rsidR="00477D96" w:rsidRPr="005D3349">
        <w:rPr>
          <w:sz w:val="22"/>
          <w:szCs w:val="22"/>
        </w:rPr>
        <w:t>, the United Kingdom</w:t>
      </w:r>
      <w:r w:rsidRPr="005D3349">
        <w:rPr>
          <w:sz w:val="22"/>
          <w:szCs w:val="22"/>
        </w:rPr>
        <w:t xml:space="preserve"> and Switzerland </w:t>
      </w:r>
      <w:r w:rsidR="00B255DA" w:rsidRPr="005D3349">
        <w:rPr>
          <w:sz w:val="22"/>
          <w:szCs w:val="22"/>
        </w:rPr>
        <w:t>(collectively, “</w:t>
      </w:r>
      <w:r w:rsidR="00B255DA" w:rsidRPr="00374669">
        <w:rPr>
          <w:b/>
          <w:bCs/>
          <w:sz w:val="22"/>
          <w:szCs w:val="22"/>
        </w:rPr>
        <w:t>Restricted Countries</w:t>
      </w:r>
      <w:r w:rsidR="00B255DA" w:rsidRPr="005D3349">
        <w:rPr>
          <w:sz w:val="22"/>
          <w:szCs w:val="22"/>
        </w:rPr>
        <w:t xml:space="preserve">”) </w:t>
      </w:r>
      <w:r w:rsidRPr="005D3349">
        <w:rPr>
          <w:sz w:val="22"/>
          <w:szCs w:val="22"/>
        </w:rPr>
        <w:t xml:space="preserve">to </w:t>
      </w:r>
      <w:r w:rsidR="00B255DA" w:rsidRPr="005D3349">
        <w:rPr>
          <w:sz w:val="22"/>
          <w:szCs w:val="22"/>
        </w:rPr>
        <w:t>DNAnexus in a country that does not ensure an adequate level of protection (within the meaning and to the extent governed by the applicable Data Protection Laws of the Restricted Countries)</w:t>
      </w:r>
      <w:r w:rsidR="005B6719">
        <w:rPr>
          <w:sz w:val="22"/>
          <w:szCs w:val="22"/>
        </w:rPr>
        <w:t xml:space="preserve">, </w:t>
      </w:r>
      <w:r w:rsidR="00B255DA" w:rsidRPr="005D3349">
        <w:rPr>
          <w:sz w:val="22"/>
          <w:szCs w:val="22"/>
        </w:rPr>
        <w:t xml:space="preserve">such transfers shall be governed by a valid mechanism for the lawful transfer of Customer </w:t>
      </w:r>
      <w:r w:rsidR="005D3349" w:rsidRPr="005D3349">
        <w:rPr>
          <w:sz w:val="22"/>
          <w:szCs w:val="22"/>
        </w:rPr>
        <w:t xml:space="preserve">Personal Data recognized under applicable Data Protection Laws, such as those </w:t>
      </w:r>
      <w:r w:rsidR="008D17D9">
        <w:rPr>
          <w:sz w:val="22"/>
          <w:szCs w:val="22"/>
        </w:rPr>
        <w:t xml:space="preserve">in the next paragraph. </w:t>
      </w:r>
      <w:r w:rsidR="005D3349" w:rsidRPr="005D3349">
        <w:rPr>
          <w:sz w:val="22"/>
          <w:szCs w:val="22"/>
        </w:rPr>
        <w:t>For clarity, for transfers from the United Kingdom and Switzerland, references in the SCCs shall be interpreted to include applicable terminology for those jurisdictions (</w:t>
      </w:r>
      <w:r w:rsidR="00400E75" w:rsidRPr="005D3349">
        <w:rPr>
          <w:sz w:val="22"/>
          <w:szCs w:val="22"/>
        </w:rPr>
        <w:t>e.g.,</w:t>
      </w:r>
      <w:r w:rsidR="005D3349" w:rsidRPr="005D3349">
        <w:rPr>
          <w:sz w:val="22"/>
          <w:szCs w:val="22"/>
        </w:rPr>
        <w:t xml:space="preserve"> “Member State” shall be interpreted to mean “United Kingdom” for transfers from the United Kingdom.) The Standard Contractual Clauses (SCCs) are </w:t>
      </w:r>
      <w:r w:rsidR="00290475" w:rsidRPr="005D3349">
        <w:rPr>
          <w:sz w:val="22"/>
          <w:szCs w:val="22"/>
        </w:rPr>
        <w:t xml:space="preserve">attached to this DPA as </w:t>
      </w:r>
      <w:r w:rsidR="00290475" w:rsidRPr="005D3349">
        <w:rPr>
          <w:sz w:val="22"/>
          <w:szCs w:val="22"/>
          <w:u w:val="single"/>
        </w:rPr>
        <w:t>Schedule 1</w:t>
      </w:r>
      <w:r w:rsidR="00290475" w:rsidRPr="003F5FC0">
        <w:t xml:space="preserve">, </w:t>
      </w:r>
      <w:r w:rsidR="001E601D" w:rsidRPr="005D3349">
        <w:rPr>
          <w:sz w:val="22"/>
          <w:szCs w:val="22"/>
        </w:rPr>
        <w:t>to</w:t>
      </w:r>
      <w:r w:rsidR="00290475" w:rsidRPr="005D3349">
        <w:rPr>
          <w:sz w:val="22"/>
          <w:szCs w:val="22"/>
        </w:rPr>
        <w:t xml:space="preserve"> implement appropriate safeguards for such transfers of Customer Personal Data.</w:t>
      </w:r>
      <w:bookmarkEnd w:id="2"/>
    </w:p>
    <w:p w14:paraId="3FBD0A9A" w14:textId="31A83CB9" w:rsidR="002C4889" w:rsidRDefault="007722C1" w:rsidP="002C4889">
      <w:pPr>
        <w:pStyle w:val="ListParagraph"/>
        <w:tabs>
          <w:tab w:val="left" w:pos="829"/>
        </w:tabs>
        <w:kinsoku w:val="0"/>
        <w:overflowPunct w:val="0"/>
        <w:spacing w:before="119"/>
        <w:ind w:left="108" w:right="105"/>
        <w:rPr>
          <w:sz w:val="22"/>
          <w:szCs w:val="22"/>
        </w:rPr>
      </w:pPr>
      <w:r w:rsidRPr="00374669">
        <w:rPr>
          <w:sz w:val="22"/>
          <w:szCs w:val="22"/>
          <w:u w:val="single"/>
        </w:rPr>
        <w:t>SCC</w:t>
      </w:r>
      <w:r w:rsidR="00D70076">
        <w:rPr>
          <w:sz w:val="22"/>
          <w:szCs w:val="22"/>
        </w:rPr>
        <w:t>s:</w:t>
      </w:r>
      <w:r>
        <w:rPr>
          <w:sz w:val="22"/>
          <w:szCs w:val="22"/>
        </w:rPr>
        <w:t xml:space="preserve"> Each party agrees to abide by and transfer Customer Personal Data from the Restricted </w:t>
      </w:r>
      <w:r w:rsidR="009061E4">
        <w:rPr>
          <w:sz w:val="22"/>
          <w:szCs w:val="22"/>
        </w:rPr>
        <w:t>Countries in accordance with the SCCs</w:t>
      </w:r>
      <w:r w:rsidR="009F4955">
        <w:rPr>
          <w:sz w:val="22"/>
          <w:szCs w:val="22"/>
        </w:rPr>
        <w:t xml:space="preserve"> set out in </w:t>
      </w:r>
      <w:r w:rsidR="009061E4">
        <w:rPr>
          <w:sz w:val="22"/>
          <w:szCs w:val="22"/>
        </w:rPr>
        <w:t>Schedule 1.</w:t>
      </w:r>
    </w:p>
    <w:p w14:paraId="461CB2BB" w14:textId="5DB86D1A" w:rsidR="00045F97" w:rsidRDefault="008F301C" w:rsidP="002C4889">
      <w:pPr>
        <w:pStyle w:val="ListParagraph"/>
        <w:tabs>
          <w:tab w:val="left" w:pos="829"/>
        </w:tabs>
        <w:kinsoku w:val="0"/>
        <w:overflowPunct w:val="0"/>
        <w:spacing w:before="119"/>
        <w:ind w:left="108" w:right="105"/>
        <w:rPr>
          <w:sz w:val="22"/>
          <w:szCs w:val="22"/>
        </w:rPr>
      </w:pPr>
      <w:r>
        <w:rPr>
          <w:sz w:val="22"/>
          <w:szCs w:val="22"/>
        </w:rPr>
        <w:t>For the avoidance of doubt, and notwithstanding anything herein to the contrary, the SCCs will only apply to the extent</w:t>
      </w:r>
      <w:r w:rsidR="00045F97">
        <w:rPr>
          <w:sz w:val="22"/>
          <w:szCs w:val="22"/>
        </w:rPr>
        <w:t xml:space="preserve"> the data being transferred </w:t>
      </w:r>
      <w:r w:rsidR="00507351">
        <w:rPr>
          <w:sz w:val="22"/>
          <w:szCs w:val="22"/>
        </w:rPr>
        <w:t>relates to individuals from a Restricted Country</w:t>
      </w:r>
      <w:r w:rsidR="00045F97">
        <w:rPr>
          <w:sz w:val="22"/>
          <w:szCs w:val="22"/>
        </w:rPr>
        <w:t>.</w:t>
      </w:r>
    </w:p>
    <w:p w14:paraId="22EC9A17" w14:textId="750EDF25" w:rsidR="005D7F64" w:rsidRDefault="005D7F64">
      <w:pPr>
        <w:pStyle w:val="ListParagraph"/>
        <w:numPr>
          <w:ilvl w:val="1"/>
          <w:numId w:val="1"/>
        </w:numPr>
        <w:tabs>
          <w:tab w:val="left" w:pos="829"/>
        </w:tabs>
        <w:kinsoku w:val="0"/>
        <w:overflowPunct w:val="0"/>
        <w:spacing w:before="120"/>
        <w:ind w:left="107" w:right="102" w:firstLine="0"/>
        <w:rPr>
          <w:sz w:val="22"/>
          <w:szCs w:val="22"/>
        </w:rPr>
      </w:pPr>
      <w:r>
        <w:rPr>
          <w:sz w:val="22"/>
          <w:szCs w:val="22"/>
        </w:rPr>
        <w:t>If the Customer notifies DNAnexus about another Controller and DNAnexus does not object within 30</w:t>
      </w:r>
      <w:r>
        <w:rPr>
          <w:spacing w:val="-32"/>
          <w:sz w:val="22"/>
          <w:szCs w:val="22"/>
        </w:rPr>
        <w:t xml:space="preserve"> </w:t>
      </w:r>
      <w:r>
        <w:rPr>
          <w:sz w:val="22"/>
          <w:szCs w:val="22"/>
        </w:rPr>
        <w:t xml:space="preserve">days after the Customer’s notification, the Customer agrees on behalf of such other Controller(s), </w:t>
      </w:r>
      <w:r>
        <w:rPr>
          <w:spacing w:val="4"/>
          <w:sz w:val="22"/>
          <w:szCs w:val="22"/>
        </w:rPr>
        <w:t xml:space="preserve">or </w:t>
      </w:r>
      <w:r>
        <w:rPr>
          <w:sz w:val="22"/>
          <w:szCs w:val="22"/>
        </w:rPr>
        <w:t>if unable to agree, will procure agreement of such Controller(s), to be additional data exporter(s) under the Standard Contractual Clauses concluded between DNAnexus and the Customer. The Customer agrees and, if applicable, procures the agreement of other Controllers that</w:t>
      </w:r>
      <w:r w:rsidR="00F00D34">
        <w:rPr>
          <w:sz w:val="22"/>
          <w:szCs w:val="22"/>
        </w:rPr>
        <w:t>, as between the parties and without prejudice to Data Subjects’ rights,</w:t>
      </w:r>
      <w:r>
        <w:rPr>
          <w:sz w:val="22"/>
          <w:szCs w:val="22"/>
        </w:rPr>
        <w:t xml:space="preserve"> the Standard Contractual Clauses, including any claims arising from them, are subject to the terms set forth in the Agreement, including the exclusions and limitations of liability. In case of conflict</w:t>
      </w:r>
      <w:r w:rsidR="00F00D34">
        <w:rPr>
          <w:sz w:val="22"/>
          <w:szCs w:val="22"/>
        </w:rPr>
        <w:t xml:space="preserve"> between the provisions of this DPA or the Agreement and the Standard Contractual Clauses</w:t>
      </w:r>
      <w:r>
        <w:rPr>
          <w:sz w:val="22"/>
          <w:szCs w:val="22"/>
        </w:rPr>
        <w:t>, the Standard Contractual Clauses shall</w:t>
      </w:r>
      <w:r>
        <w:rPr>
          <w:spacing w:val="-4"/>
          <w:sz w:val="22"/>
          <w:szCs w:val="22"/>
        </w:rPr>
        <w:t xml:space="preserve"> </w:t>
      </w:r>
      <w:r>
        <w:rPr>
          <w:sz w:val="22"/>
          <w:szCs w:val="22"/>
        </w:rPr>
        <w:t>prevail.</w:t>
      </w:r>
    </w:p>
    <w:p w14:paraId="555DF3C8" w14:textId="77777777" w:rsidR="005D7F64" w:rsidRDefault="005D7F64">
      <w:pPr>
        <w:pStyle w:val="ListParagraph"/>
        <w:numPr>
          <w:ilvl w:val="1"/>
          <w:numId w:val="1"/>
        </w:numPr>
        <w:tabs>
          <w:tab w:val="left" w:pos="829"/>
        </w:tabs>
        <w:kinsoku w:val="0"/>
        <w:overflowPunct w:val="0"/>
        <w:spacing w:before="81"/>
        <w:ind w:left="107" w:right="104" w:firstLine="0"/>
        <w:rPr>
          <w:sz w:val="22"/>
          <w:szCs w:val="22"/>
        </w:rPr>
      </w:pPr>
      <w:r>
        <w:rPr>
          <w:sz w:val="22"/>
          <w:szCs w:val="22"/>
        </w:rPr>
        <w:t>To the extent that DNAnexus or the Customer are relying on a specific statutory mechanism to legitimize international data transfers that is subsequently modified, revoked, or held in a court of competent jurisdiction to be invalid,</w:t>
      </w:r>
      <w:r>
        <w:rPr>
          <w:spacing w:val="-10"/>
          <w:sz w:val="22"/>
          <w:szCs w:val="22"/>
        </w:rPr>
        <w:t xml:space="preserve"> </w:t>
      </w:r>
      <w:r>
        <w:rPr>
          <w:sz w:val="22"/>
          <w:szCs w:val="22"/>
        </w:rPr>
        <w:t>the</w:t>
      </w:r>
      <w:r>
        <w:rPr>
          <w:spacing w:val="-7"/>
          <w:sz w:val="22"/>
          <w:szCs w:val="22"/>
        </w:rPr>
        <w:t xml:space="preserve"> </w:t>
      </w:r>
      <w:r>
        <w:rPr>
          <w:sz w:val="22"/>
          <w:szCs w:val="22"/>
        </w:rPr>
        <w:t>parties</w:t>
      </w:r>
      <w:r>
        <w:rPr>
          <w:spacing w:val="-5"/>
          <w:sz w:val="22"/>
          <w:szCs w:val="22"/>
        </w:rPr>
        <w:t xml:space="preserve"> </w:t>
      </w:r>
      <w:r>
        <w:rPr>
          <w:sz w:val="22"/>
          <w:szCs w:val="22"/>
        </w:rPr>
        <w:t>agree</w:t>
      </w:r>
      <w:r>
        <w:rPr>
          <w:spacing w:val="-6"/>
          <w:sz w:val="22"/>
          <w:szCs w:val="22"/>
        </w:rPr>
        <w:t xml:space="preserve"> </w:t>
      </w:r>
      <w:r>
        <w:rPr>
          <w:sz w:val="22"/>
          <w:szCs w:val="22"/>
        </w:rPr>
        <w:t>to</w:t>
      </w:r>
      <w:r>
        <w:rPr>
          <w:spacing w:val="-10"/>
          <w:sz w:val="22"/>
          <w:szCs w:val="22"/>
        </w:rPr>
        <w:t xml:space="preserve"> </w:t>
      </w:r>
      <w:r>
        <w:rPr>
          <w:sz w:val="22"/>
          <w:szCs w:val="22"/>
        </w:rPr>
        <w:t>cooperate</w:t>
      </w:r>
      <w:r>
        <w:rPr>
          <w:spacing w:val="-6"/>
          <w:sz w:val="22"/>
          <w:szCs w:val="22"/>
        </w:rPr>
        <w:t xml:space="preserve"> </w:t>
      </w:r>
      <w:r>
        <w:rPr>
          <w:sz w:val="22"/>
          <w:szCs w:val="22"/>
        </w:rPr>
        <w:t>in</w:t>
      </w:r>
      <w:r>
        <w:rPr>
          <w:spacing w:val="-6"/>
          <w:sz w:val="22"/>
          <w:szCs w:val="22"/>
        </w:rPr>
        <w:t xml:space="preserve"> </w:t>
      </w:r>
      <w:r>
        <w:rPr>
          <w:sz w:val="22"/>
          <w:szCs w:val="22"/>
        </w:rPr>
        <w:t>good</w:t>
      </w:r>
      <w:r>
        <w:rPr>
          <w:spacing w:val="-7"/>
          <w:sz w:val="22"/>
          <w:szCs w:val="22"/>
        </w:rPr>
        <w:t xml:space="preserve"> </w:t>
      </w:r>
      <w:r>
        <w:rPr>
          <w:sz w:val="22"/>
          <w:szCs w:val="22"/>
        </w:rPr>
        <w:t>faith</w:t>
      </w:r>
      <w:r>
        <w:rPr>
          <w:spacing w:val="-9"/>
          <w:sz w:val="22"/>
          <w:szCs w:val="22"/>
        </w:rPr>
        <w:t xml:space="preserve"> </w:t>
      </w:r>
      <w:r>
        <w:rPr>
          <w:sz w:val="22"/>
          <w:szCs w:val="22"/>
        </w:rPr>
        <w:t>to</w:t>
      </w:r>
      <w:r>
        <w:rPr>
          <w:spacing w:val="-7"/>
          <w:sz w:val="22"/>
          <w:szCs w:val="22"/>
        </w:rPr>
        <w:t xml:space="preserve"> </w:t>
      </w:r>
      <w:r>
        <w:rPr>
          <w:sz w:val="22"/>
          <w:szCs w:val="22"/>
        </w:rPr>
        <w:t>promptly</w:t>
      </w:r>
      <w:r>
        <w:rPr>
          <w:spacing w:val="-9"/>
          <w:sz w:val="22"/>
          <w:szCs w:val="22"/>
        </w:rPr>
        <w:t xml:space="preserve"> </w:t>
      </w:r>
      <w:r>
        <w:rPr>
          <w:sz w:val="22"/>
          <w:szCs w:val="22"/>
        </w:rPr>
        <w:t>terminate</w:t>
      </w:r>
      <w:r>
        <w:rPr>
          <w:spacing w:val="-6"/>
          <w:sz w:val="22"/>
          <w:szCs w:val="22"/>
        </w:rPr>
        <w:t xml:space="preserve"> </w:t>
      </w:r>
      <w:r>
        <w:rPr>
          <w:sz w:val="22"/>
          <w:szCs w:val="22"/>
        </w:rPr>
        <w:t>the</w:t>
      </w:r>
      <w:r>
        <w:rPr>
          <w:spacing w:val="-6"/>
          <w:sz w:val="22"/>
          <w:szCs w:val="22"/>
        </w:rPr>
        <w:t xml:space="preserve"> </w:t>
      </w:r>
      <w:r>
        <w:rPr>
          <w:sz w:val="22"/>
          <w:szCs w:val="22"/>
        </w:rPr>
        <w:t>transfer</w:t>
      </w:r>
      <w:r>
        <w:rPr>
          <w:spacing w:val="-6"/>
          <w:sz w:val="22"/>
          <w:szCs w:val="22"/>
        </w:rPr>
        <w:t xml:space="preserve"> </w:t>
      </w:r>
      <w:r>
        <w:rPr>
          <w:sz w:val="22"/>
          <w:szCs w:val="22"/>
        </w:rPr>
        <w:t>or</w:t>
      </w:r>
      <w:r>
        <w:rPr>
          <w:spacing w:val="-8"/>
          <w:sz w:val="22"/>
          <w:szCs w:val="22"/>
        </w:rPr>
        <w:t xml:space="preserve"> </w:t>
      </w:r>
      <w:r>
        <w:rPr>
          <w:sz w:val="22"/>
          <w:szCs w:val="22"/>
        </w:rPr>
        <w:t>to</w:t>
      </w:r>
      <w:r>
        <w:rPr>
          <w:spacing w:val="-6"/>
          <w:sz w:val="22"/>
          <w:szCs w:val="22"/>
        </w:rPr>
        <w:t xml:space="preserve"> </w:t>
      </w:r>
      <w:r>
        <w:rPr>
          <w:sz w:val="22"/>
          <w:szCs w:val="22"/>
        </w:rPr>
        <w:t>pursue</w:t>
      </w:r>
      <w:r>
        <w:rPr>
          <w:spacing w:val="-6"/>
          <w:sz w:val="22"/>
          <w:szCs w:val="22"/>
        </w:rPr>
        <w:t xml:space="preserve"> </w:t>
      </w:r>
      <w:r>
        <w:rPr>
          <w:sz w:val="22"/>
          <w:szCs w:val="22"/>
        </w:rPr>
        <w:t>a</w:t>
      </w:r>
      <w:r>
        <w:rPr>
          <w:spacing w:val="-6"/>
          <w:sz w:val="22"/>
          <w:szCs w:val="22"/>
        </w:rPr>
        <w:t xml:space="preserve"> </w:t>
      </w:r>
      <w:r>
        <w:rPr>
          <w:sz w:val="22"/>
          <w:szCs w:val="22"/>
        </w:rPr>
        <w:t>suitable</w:t>
      </w:r>
      <w:r>
        <w:rPr>
          <w:spacing w:val="-7"/>
          <w:sz w:val="22"/>
          <w:szCs w:val="22"/>
        </w:rPr>
        <w:t xml:space="preserve"> </w:t>
      </w:r>
      <w:r>
        <w:rPr>
          <w:sz w:val="22"/>
          <w:szCs w:val="22"/>
        </w:rPr>
        <w:t>alternate mechanism that can lawfully support the transfer of Customer Personal</w:t>
      </w:r>
      <w:r>
        <w:rPr>
          <w:spacing w:val="-13"/>
          <w:sz w:val="22"/>
          <w:szCs w:val="22"/>
        </w:rPr>
        <w:t xml:space="preserve"> </w:t>
      </w:r>
      <w:r>
        <w:rPr>
          <w:sz w:val="22"/>
          <w:szCs w:val="22"/>
        </w:rPr>
        <w:t>Data.</w:t>
      </w:r>
    </w:p>
    <w:p w14:paraId="105E2A82" w14:textId="291CC8C6" w:rsidR="00DD20D7" w:rsidRDefault="00797BD8">
      <w:pPr>
        <w:pStyle w:val="ListParagraph"/>
        <w:numPr>
          <w:ilvl w:val="1"/>
          <w:numId w:val="1"/>
        </w:numPr>
        <w:tabs>
          <w:tab w:val="left" w:pos="829"/>
        </w:tabs>
        <w:kinsoku w:val="0"/>
        <w:overflowPunct w:val="0"/>
        <w:spacing w:before="81"/>
        <w:ind w:left="107" w:right="104" w:firstLine="0"/>
        <w:rPr>
          <w:sz w:val="22"/>
          <w:szCs w:val="22"/>
        </w:rPr>
      </w:pPr>
      <w:r>
        <w:rPr>
          <w:sz w:val="22"/>
          <w:szCs w:val="22"/>
        </w:rPr>
        <w:t>DNAnexus shall</w:t>
      </w:r>
      <w:r w:rsidR="00DD20D7">
        <w:rPr>
          <w:sz w:val="22"/>
          <w:szCs w:val="22"/>
        </w:rPr>
        <w:t xml:space="preserve"> only host Customer Personal Data in the region(s) offered by DNAnexus and selected by Customer on the DNAnexus Order Form</w:t>
      </w:r>
      <w:r w:rsidR="009061E4">
        <w:rPr>
          <w:sz w:val="22"/>
          <w:szCs w:val="22"/>
        </w:rPr>
        <w:t xml:space="preserve"> (the “</w:t>
      </w:r>
      <w:r w:rsidR="009061E4">
        <w:rPr>
          <w:b/>
          <w:bCs/>
          <w:sz w:val="22"/>
          <w:szCs w:val="22"/>
        </w:rPr>
        <w:t>Hosting Region</w:t>
      </w:r>
      <w:r w:rsidR="009061E4">
        <w:rPr>
          <w:sz w:val="22"/>
          <w:szCs w:val="22"/>
        </w:rPr>
        <w:t>”)</w:t>
      </w:r>
      <w:r w:rsidR="00DD20D7">
        <w:rPr>
          <w:sz w:val="22"/>
          <w:szCs w:val="22"/>
        </w:rPr>
        <w:t xml:space="preserve">. Customer is solely responsible for the regions from which its Users access the Customer Personal Data, for any </w:t>
      </w:r>
      <w:r w:rsidR="00B255DA">
        <w:rPr>
          <w:sz w:val="22"/>
          <w:szCs w:val="22"/>
        </w:rPr>
        <w:t xml:space="preserve">transfer or sharing of Customer Personal Data by Customer or its Users and for any subsequent designation of other Hosting Regions (either for the same Account, a different Account or a separate Service). Once Customer has selected a Hosting Region(s), </w:t>
      </w:r>
      <w:r>
        <w:rPr>
          <w:sz w:val="22"/>
          <w:szCs w:val="22"/>
        </w:rPr>
        <w:t>DNAnexus shall</w:t>
      </w:r>
      <w:r w:rsidR="00B255DA">
        <w:rPr>
          <w:sz w:val="22"/>
          <w:szCs w:val="22"/>
        </w:rPr>
        <w:t xml:space="preserve"> not process Customer Personal Data from outside the Hosting Region except as reasonably necessary to provide the Services procured by Customer, or as necessary to comply with the law or binding order of a governmental body.</w:t>
      </w:r>
    </w:p>
    <w:p w14:paraId="504F20CE" w14:textId="6037A922" w:rsidR="00DD3958" w:rsidRDefault="00DD3958">
      <w:pPr>
        <w:pStyle w:val="ListParagraph"/>
        <w:numPr>
          <w:ilvl w:val="1"/>
          <w:numId w:val="1"/>
        </w:numPr>
        <w:tabs>
          <w:tab w:val="left" w:pos="829"/>
        </w:tabs>
        <w:kinsoku w:val="0"/>
        <w:overflowPunct w:val="0"/>
        <w:spacing w:before="81"/>
        <w:ind w:left="107" w:right="104" w:firstLine="0"/>
        <w:rPr>
          <w:sz w:val="22"/>
          <w:szCs w:val="22"/>
        </w:rPr>
      </w:pPr>
      <w:proofErr w:type="gramStart"/>
      <w:r>
        <w:rPr>
          <w:sz w:val="22"/>
          <w:szCs w:val="22"/>
        </w:rPr>
        <w:t xml:space="preserve">In the event </w:t>
      </w:r>
      <w:r w:rsidR="00AE5318">
        <w:rPr>
          <w:sz w:val="22"/>
          <w:szCs w:val="22"/>
        </w:rPr>
        <w:t>that</w:t>
      </w:r>
      <w:proofErr w:type="gramEnd"/>
      <w:r w:rsidR="00AE5318">
        <w:rPr>
          <w:sz w:val="22"/>
          <w:szCs w:val="22"/>
        </w:rPr>
        <w:t xml:space="preserve"> any data transfers under the Agreement are subject to the UK GDPR, </w:t>
      </w:r>
      <w:r w:rsidR="00045F97">
        <w:rPr>
          <w:sz w:val="22"/>
          <w:szCs w:val="22"/>
        </w:rPr>
        <w:t xml:space="preserve">the UK Addendum, </w:t>
      </w:r>
      <w:r w:rsidR="00B61C5A">
        <w:rPr>
          <w:sz w:val="22"/>
          <w:szCs w:val="22"/>
        </w:rPr>
        <w:t xml:space="preserve">set out in </w:t>
      </w:r>
      <w:r w:rsidR="00045F97">
        <w:rPr>
          <w:sz w:val="22"/>
          <w:szCs w:val="22"/>
        </w:rPr>
        <w:t>Schedule 2</w:t>
      </w:r>
      <w:r w:rsidR="00AE5318">
        <w:rPr>
          <w:sz w:val="22"/>
          <w:szCs w:val="22"/>
        </w:rPr>
        <w:t>,</w:t>
      </w:r>
      <w:r w:rsidR="00045F97">
        <w:rPr>
          <w:sz w:val="22"/>
          <w:szCs w:val="22"/>
        </w:rPr>
        <w:t xml:space="preserve"> </w:t>
      </w:r>
      <w:r w:rsidR="00AE5318">
        <w:rPr>
          <w:sz w:val="22"/>
          <w:szCs w:val="22"/>
        </w:rPr>
        <w:t>shall apply</w:t>
      </w:r>
      <w:r w:rsidR="009F727D">
        <w:rPr>
          <w:sz w:val="22"/>
          <w:szCs w:val="22"/>
        </w:rPr>
        <w:t>.</w:t>
      </w:r>
    </w:p>
    <w:p w14:paraId="07917175" w14:textId="1DF1D358" w:rsidR="005D7F64" w:rsidRDefault="005D7F64">
      <w:pPr>
        <w:pStyle w:val="BodyText"/>
        <w:kinsoku w:val="0"/>
        <w:overflowPunct w:val="0"/>
        <w:spacing w:before="9"/>
        <w:ind w:left="0"/>
        <w:jc w:val="left"/>
        <w:rPr>
          <w:sz w:val="20"/>
          <w:szCs w:val="20"/>
        </w:rPr>
      </w:pPr>
    </w:p>
    <w:p w14:paraId="71BA39C4" w14:textId="77777777" w:rsidR="005D7F64" w:rsidRDefault="005D7F64" w:rsidP="002A1DDD">
      <w:pPr>
        <w:pStyle w:val="Heading1"/>
        <w:keepNext/>
        <w:widowControl/>
        <w:numPr>
          <w:ilvl w:val="0"/>
          <w:numId w:val="1"/>
        </w:numPr>
        <w:tabs>
          <w:tab w:val="left" w:pos="829"/>
        </w:tabs>
        <w:kinsoku w:val="0"/>
        <w:overflowPunct w:val="0"/>
        <w:ind w:hanging="722"/>
        <w:jc w:val="both"/>
      </w:pPr>
      <w:r>
        <w:lastRenderedPageBreak/>
        <w:t>PERSONAL DATA</w:t>
      </w:r>
      <w:r>
        <w:rPr>
          <w:spacing w:val="-3"/>
        </w:rPr>
        <w:t xml:space="preserve"> </w:t>
      </w:r>
      <w:r>
        <w:t>BREACH</w:t>
      </w:r>
    </w:p>
    <w:p w14:paraId="1047111D" w14:textId="0460B337" w:rsidR="005D7F64" w:rsidRDefault="005D7F64" w:rsidP="002A1DDD">
      <w:pPr>
        <w:pStyle w:val="ListParagraph"/>
        <w:keepNext/>
        <w:widowControl/>
        <w:tabs>
          <w:tab w:val="left" w:pos="829"/>
        </w:tabs>
        <w:kinsoku w:val="0"/>
        <w:overflowPunct w:val="0"/>
        <w:ind w:right="101"/>
        <w:rPr>
          <w:sz w:val="22"/>
          <w:szCs w:val="22"/>
        </w:rPr>
      </w:pPr>
      <w:r>
        <w:rPr>
          <w:sz w:val="22"/>
          <w:szCs w:val="22"/>
        </w:rPr>
        <w:t xml:space="preserve">DNAnexus shall notify the Customer without undue delay after becoming aware of a Personal Data Breach with respect to the Customer Personal Data. </w:t>
      </w:r>
      <w:r w:rsidR="00797BD8">
        <w:rPr>
          <w:sz w:val="22"/>
          <w:szCs w:val="22"/>
        </w:rPr>
        <w:t>DNAnexus shall</w:t>
      </w:r>
      <w:r>
        <w:rPr>
          <w:sz w:val="22"/>
          <w:szCs w:val="22"/>
        </w:rPr>
        <w:t xml:space="preserve"> promptly investigate the Personal Data Breach if it occurred on the DNAnexus infrastructure. DNAnexus is responsible for and will assist the Customer as set out in Section 1</w:t>
      </w:r>
      <w:r w:rsidR="00C261A3">
        <w:rPr>
          <w:sz w:val="22"/>
          <w:szCs w:val="22"/>
        </w:rPr>
        <w:t>4</w:t>
      </w:r>
      <w:r>
        <w:rPr>
          <w:sz w:val="22"/>
          <w:szCs w:val="22"/>
        </w:rPr>
        <w:t xml:space="preserve"> of this</w:t>
      </w:r>
      <w:r>
        <w:rPr>
          <w:spacing w:val="-5"/>
          <w:sz w:val="22"/>
          <w:szCs w:val="22"/>
        </w:rPr>
        <w:t xml:space="preserve"> </w:t>
      </w:r>
      <w:r>
        <w:rPr>
          <w:sz w:val="22"/>
          <w:szCs w:val="22"/>
        </w:rPr>
        <w:t>DPA.</w:t>
      </w:r>
    </w:p>
    <w:p w14:paraId="65350736" w14:textId="77777777" w:rsidR="005D7F64" w:rsidRDefault="005D7F64">
      <w:pPr>
        <w:pStyle w:val="BodyText"/>
        <w:kinsoku w:val="0"/>
        <w:overflowPunct w:val="0"/>
        <w:spacing w:before="9"/>
        <w:ind w:left="0"/>
        <w:jc w:val="left"/>
        <w:rPr>
          <w:sz w:val="20"/>
          <w:szCs w:val="20"/>
        </w:rPr>
      </w:pPr>
    </w:p>
    <w:p w14:paraId="3E62829A" w14:textId="77777777" w:rsidR="005D7F64" w:rsidRDefault="005D7F64">
      <w:pPr>
        <w:pStyle w:val="Heading1"/>
        <w:numPr>
          <w:ilvl w:val="0"/>
          <w:numId w:val="1"/>
        </w:numPr>
        <w:tabs>
          <w:tab w:val="left" w:pos="829"/>
        </w:tabs>
        <w:kinsoku w:val="0"/>
        <w:overflowPunct w:val="0"/>
        <w:ind w:hanging="722"/>
        <w:jc w:val="both"/>
      </w:pPr>
      <w:r>
        <w:t>ASSISTANCE</w:t>
      </w:r>
    </w:p>
    <w:p w14:paraId="64391B92" w14:textId="0CC80247" w:rsidR="005D7F64" w:rsidRDefault="00797BD8">
      <w:pPr>
        <w:pStyle w:val="ListParagraph"/>
        <w:numPr>
          <w:ilvl w:val="1"/>
          <w:numId w:val="1"/>
        </w:numPr>
        <w:tabs>
          <w:tab w:val="left" w:pos="829"/>
        </w:tabs>
        <w:kinsoku w:val="0"/>
        <w:overflowPunct w:val="0"/>
        <w:ind w:left="107" w:right="101" w:firstLine="0"/>
        <w:rPr>
          <w:sz w:val="22"/>
          <w:szCs w:val="22"/>
        </w:rPr>
      </w:pPr>
      <w:r>
        <w:rPr>
          <w:sz w:val="22"/>
          <w:szCs w:val="22"/>
        </w:rPr>
        <w:t>DNAnexus shall</w:t>
      </w:r>
      <w:r w:rsidR="005D7F64">
        <w:rPr>
          <w:sz w:val="22"/>
          <w:szCs w:val="22"/>
        </w:rPr>
        <w:t xml:space="preserve"> assist the Customer by technical and organizational measures, insofar as possible, for the fulfillment of the Customer’s obligation to comply with the rights of Data Subjects and in ensuring compliance with the Customer’s obligations relating to the security of Processing, the notification of a Personal Data Breach, data protection impact assessments and consultation with competent data protection authorities (if required by the Data Protection Law), taking into account the information available to</w:t>
      </w:r>
      <w:r w:rsidR="005D7F64">
        <w:rPr>
          <w:spacing w:val="-12"/>
          <w:sz w:val="22"/>
          <w:szCs w:val="22"/>
        </w:rPr>
        <w:t xml:space="preserve"> </w:t>
      </w:r>
      <w:r w:rsidR="005D7F64">
        <w:rPr>
          <w:sz w:val="22"/>
          <w:szCs w:val="22"/>
        </w:rPr>
        <w:t>DNAnexus.</w:t>
      </w:r>
    </w:p>
    <w:p w14:paraId="7DE390C5" w14:textId="5D00CE21" w:rsidR="005D7F64" w:rsidRDefault="004939BE" w:rsidP="00262553">
      <w:pPr>
        <w:pStyle w:val="ListParagraph"/>
        <w:numPr>
          <w:ilvl w:val="1"/>
          <w:numId w:val="1"/>
        </w:numPr>
        <w:tabs>
          <w:tab w:val="left" w:pos="829"/>
        </w:tabs>
        <w:kinsoku w:val="0"/>
        <w:overflowPunct w:val="0"/>
        <w:spacing w:before="120" w:after="120"/>
        <w:ind w:left="101" w:right="101" w:firstLine="0"/>
        <w:rPr>
          <w:sz w:val="22"/>
          <w:szCs w:val="22"/>
        </w:rPr>
      </w:pPr>
      <w:r w:rsidRPr="00374669">
        <w:rPr>
          <w:sz w:val="22"/>
          <w:szCs w:val="22"/>
          <w:u w:val="single"/>
        </w:rPr>
        <w:t>DSARs</w:t>
      </w:r>
      <w:r>
        <w:rPr>
          <w:sz w:val="22"/>
          <w:szCs w:val="22"/>
        </w:rPr>
        <w:t xml:space="preserve">: </w:t>
      </w:r>
      <w:r w:rsidR="005D7F64">
        <w:rPr>
          <w:sz w:val="22"/>
          <w:szCs w:val="22"/>
        </w:rPr>
        <w:t>The</w:t>
      </w:r>
      <w:r w:rsidR="005D7F64">
        <w:rPr>
          <w:spacing w:val="-4"/>
          <w:sz w:val="22"/>
          <w:szCs w:val="22"/>
        </w:rPr>
        <w:t xml:space="preserve"> </w:t>
      </w:r>
      <w:r w:rsidR="005D7F64">
        <w:rPr>
          <w:sz w:val="22"/>
          <w:szCs w:val="22"/>
        </w:rPr>
        <w:t>Customer</w:t>
      </w:r>
      <w:r w:rsidR="005D7F64">
        <w:rPr>
          <w:spacing w:val="-3"/>
          <w:sz w:val="22"/>
          <w:szCs w:val="22"/>
        </w:rPr>
        <w:t xml:space="preserve"> </w:t>
      </w:r>
      <w:r w:rsidR="005D7F64">
        <w:rPr>
          <w:sz w:val="22"/>
          <w:szCs w:val="22"/>
        </w:rPr>
        <w:t>will</w:t>
      </w:r>
      <w:r w:rsidR="005D7F64">
        <w:rPr>
          <w:spacing w:val="-3"/>
          <w:sz w:val="22"/>
          <w:szCs w:val="22"/>
        </w:rPr>
        <w:t xml:space="preserve"> </w:t>
      </w:r>
      <w:r w:rsidR="005D7F64">
        <w:rPr>
          <w:sz w:val="22"/>
          <w:szCs w:val="22"/>
        </w:rPr>
        <w:t>make</w:t>
      </w:r>
      <w:r w:rsidR="005D7F64">
        <w:rPr>
          <w:spacing w:val="-3"/>
          <w:sz w:val="22"/>
          <w:szCs w:val="22"/>
        </w:rPr>
        <w:t xml:space="preserve"> </w:t>
      </w:r>
      <w:r w:rsidR="005D7F64">
        <w:rPr>
          <w:sz w:val="22"/>
          <w:szCs w:val="22"/>
        </w:rPr>
        <w:t>a</w:t>
      </w:r>
      <w:r w:rsidR="005D7F64">
        <w:rPr>
          <w:spacing w:val="-1"/>
          <w:sz w:val="22"/>
          <w:szCs w:val="22"/>
        </w:rPr>
        <w:t xml:space="preserve"> </w:t>
      </w:r>
      <w:r w:rsidR="005D7F64">
        <w:rPr>
          <w:sz w:val="22"/>
          <w:szCs w:val="22"/>
        </w:rPr>
        <w:t>written</w:t>
      </w:r>
      <w:r w:rsidR="005D7F64">
        <w:rPr>
          <w:spacing w:val="-6"/>
          <w:sz w:val="22"/>
          <w:szCs w:val="22"/>
        </w:rPr>
        <w:t xml:space="preserve"> </w:t>
      </w:r>
      <w:r w:rsidR="005D7F64">
        <w:rPr>
          <w:sz w:val="22"/>
          <w:szCs w:val="22"/>
        </w:rPr>
        <w:t>request</w:t>
      </w:r>
      <w:r w:rsidR="005D7F64">
        <w:rPr>
          <w:spacing w:val="-5"/>
          <w:sz w:val="22"/>
          <w:szCs w:val="22"/>
        </w:rPr>
        <w:t xml:space="preserve"> </w:t>
      </w:r>
      <w:r w:rsidR="005D7F64">
        <w:rPr>
          <w:sz w:val="22"/>
          <w:szCs w:val="22"/>
        </w:rPr>
        <w:t>for</w:t>
      </w:r>
      <w:r w:rsidR="005D7F64">
        <w:rPr>
          <w:spacing w:val="-3"/>
          <w:sz w:val="22"/>
          <w:szCs w:val="22"/>
        </w:rPr>
        <w:t xml:space="preserve"> </w:t>
      </w:r>
      <w:r w:rsidR="005D7F64">
        <w:rPr>
          <w:sz w:val="22"/>
          <w:szCs w:val="22"/>
        </w:rPr>
        <w:t>any</w:t>
      </w:r>
      <w:r w:rsidR="005D7F64">
        <w:rPr>
          <w:spacing w:val="-6"/>
          <w:sz w:val="22"/>
          <w:szCs w:val="22"/>
        </w:rPr>
        <w:t xml:space="preserve"> </w:t>
      </w:r>
      <w:r w:rsidR="005D7F64">
        <w:rPr>
          <w:sz w:val="22"/>
          <w:szCs w:val="22"/>
        </w:rPr>
        <w:t>assistance</w:t>
      </w:r>
      <w:r w:rsidR="005D7F64">
        <w:rPr>
          <w:spacing w:val="-3"/>
          <w:sz w:val="22"/>
          <w:szCs w:val="22"/>
        </w:rPr>
        <w:t xml:space="preserve"> </w:t>
      </w:r>
      <w:r w:rsidR="005D7F64">
        <w:rPr>
          <w:sz w:val="22"/>
          <w:szCs w:val="22"/>
        </w:rPr>
        <w:t>referred</w:t>
      </w:r>
      <w:r w:rsidR="005D7F64">
        <w:rPr>
          <w:spacing w:val="-3"/>
          <w:sz w:val="22"/>
          <w:szCs w:val="22"/>
        </w:rPr>
        <w:t xml:space="preserve"> </w:t>
      </w:r>
      <w:r w:rsidR="005D7F64">
        <w:rPr>
          <w:sz w:val="22"/>
          <w:szCs w:val="22"/>
        </w:rPr>
        <w:t>to</w:t>
      </w:r>
      <w:r w:rsidR="005D7F64">
        <w:rPr>
          <w:spacing w:val="-5"/>
          <w:sz w:val="22"/>
          <w:szCs w:val="22"/>
        </w:rPr>
        <w:t xml:space="preserve"> </w:t>
      </w:r>
      <w:r w:rsidR="005D7F64">
        <w:rPr>
          <w:sz w:val="22"/>
          <w:szCs w:val="22"/>
        </w:rPr>
        <w:t>in</w:t>
      </w:r>
      <w:r w:rsidR="005D7F64">
        <w:rPr>
          <w:spacing w:val="-4"/>
          <w:sz w:val="22"/>
          <w:szCs w:val="22"/>
        </w:rPr>
        <w:t xml:space="preserve"> </w:t>
      </w:r>
      <w:r w:rsidR="005D7F64">
        <w:rPr>
          <w:sz w:val="22"/>
          <w:szCs w:val="22"/>
        </w:rPr>
        <w:t>this</w:t>
      </w:r>
      <w:r w:rsidR="005D7F64">
        <w:rPr>
          <w:spacing w:val="-3"/>
          <w:sz w:val="22"/>
          <w:szCs w:val="22"/>
        </w:rPr>
        <w:t xml:space="preserve"> </w:t>
      </w:r>
      <w:r w:rsidR="005D7F64">
        <w:rPr>
          <w:sz w:val="22"/>
          <w:szCs w:val="22"/>
        </w:rPr>
        <w:t>DPA.</w:t>
      </w:r>
      <w:r w:rsidR="005D7F64">
        <w:rPr>
          <w:spacing w:val="-4"/>
          <w:sz w:val="22"/>
          <w:szCs w:val="22"/>
        </w:rPr>
        <w:t xml:space="preserve"> </w:t>
      </w:r>
      <w:r w:rsidR="00797BD8">
        <w:rPr>
          <w:sz w:val="22"/>
          <w:szCs w:val="22"/>
        </w:rPr>
        <w:t>DNAnexus shall</w:t>
      </w:r>
      <w:r w:rsidR="005D7F64">
        <w:rPr>
          <w:spacing w:val="-3"/>
          <w:sz w:val="22"/>
          <w:szCs w:val="22"/>
        </w:rPr>
        <w:t xml:space="preserve"> </w:t>
      </w:r>
      <w:r w:rsidR="005D7F64">
        <w:rPr>
          <w:sz w:val="22"/>
          <w:szCs w:val="22"/>
        </w:rPr>
        <w:t>charge the Customer no more than a reasonable charge to perform such assistance or Additional Instructions, such charges to</w:t>
      </w:r>
      <w:r w:rsidR="005D7F64">
        <w:rPr>
          <w:spacing w:val="-6"/>
          <w:sz w:val="22"/>
          <w:szCs w:val="22"/>
        </w:rPr>
        <w:t xml:space="preserve"> </w:t>
      </w:r>
      <w:r w:rsidR="005D7F64">
        <w:rPr>
          <w:sz w:val="22"/>
          <w:szCs w:val="22"/>
        </w:rPr>
        <w:t>be</w:t>
      </w:r>
      <w:r w:rsidR="005D7F64">
        <w:rPr>
          <w:spacing w:val="-6"/>
          <w:sz w:val="22"/>
          <w:szCs w:val="22"/>
        </w:rPr>
        <w:t xml:space="preserve"> </w:t>
      </w:r>
      <w:r w:rsidR="005D7F64">
        <w:rPr>
          <w:sz w:val="22"/>
          <w:szCs w:val="22"/>
        </w:rPr>
        <w:t>set</w:t>
      </w:r>
      <w:r w:rsidR="005D7F64">
        <w:rPr>
          <w:spacing w:val="-4"/>
          <w:sz w:val="22"/>
          <w:szCs w:val="22"/>
        </w:rPr>
        <w:t xml:space="preserve"> </w:t>
      </w:r>
      <w:r w:rsidR="005D7F64">
        <w:rPr>
          <w:sz w:val="22"/>
          <w:szCs w:val="22"/>
        </w:rPr>
        <w:t>forth</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a</w:t>
      </w:r>
      <w:r w:rsidR="005D7F64">
        <w:rPr>
          <w:spacing w:val="-6"/>
          <w:sz w:val="22"/>
          <w:szCs w:val="22"/>
        </w:rPr>
        <w:t xml:space="preserve"> </w:t>
      </w:r>
      <w:r w:rsidR="005D7F64">
        <w:rPr>
          <w:sz w:val="22"/>
          <w:szCs w:val="22"/>
        </w:rPr>
        <w:t>quote</w:t>
      </w:r>
      <w:r w:rsidR="005D7F64">
        <w:rPr>
          <w:spacing w:val="-5"/>
          <w:sz w:val="22"/>
          <w:szCs w:val="22"/>
        </w:rPr>
        <w:t xml:space="preserve"> </w:t>
      </w:r>
      <w:r w:rsidR="005D7F64">
        <w:rPr>
          <w:sz w:val="22"/>
          <w:szCs w:val="22"/>
        </w:rPr>
        <w:t>and</w:t>
      </w:r>
      <w:r w:rsidR="005D7F64">
        <w:rPr>
          <w:spacing w:val="-6"/>
          <w:sz w:val="22"/>
          <w:szCs w:val="22"/>
        </w:rPr>
        <w:t xml:space="preserve"> </w:t>
      </w:r>
      <w:r w:rsidR="005D7F64">
        <w:rPr>
          <w:sz w:val="22"/>
          <w:szCs w:val="22"/>
        </w:rPr>
        <w:t>agreed</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writing</w:t>
      </w:r>
      <w:r w:rsidR="005D7F64">
        <w:rPr>
          <w:spacing w:val="-9"/>
          <w:sz w:val="22"/>
          <w:szCs w:val="22"/>
        </w:rPr>
        <w:t xml:space="preserve"> </w:t>
      </w:r>
      <w:r w:rsidR="005D7F64">
        <w:rPr>
          <w:sz w:val="22"/>
          <w:szCs w:val="22"/>
        </w:rPr>
        <w:t>by</w:t>
      </w:r>
      <w:r w:rsidR="005D7F64">
        <w:rPr>
          <w:spacing w:val="-8"/>
          <w:sz w:val="22"/>
          <w:szCs w:val="22"/>
        </w:rPr>
        <w:t xml:space="preserve"> </w:t>
      </w:r>
      <w:r w:rsidR="005D7F64">
        <w:rPr>
          <w:sz w:val="22"/>
          <w:szCs w:val="22"/>
        </w:rPr>
        <w:t>the</w:t>
      </w:r>
      <w:r w:rsidR="005D7F64">
        <w:rPr>
          <w:spacing w:val="-6"/>
          <w:sz w:val="22"/>
          <w:szCs w:val="22"/>
        </w:rPr>
        <w:t xml:space="preserve"> </w:t>
      </w:r>
      <w:r w:rsidR="005D7F64">
        <w:rPr>
          <w:sz w:val="22"/>
          <w:szCs w:val="22"/>
        </w:rPr>
        <w:t>parties,</w:t>
      </w:r>
      <w:r w:rsidR="005D7F64">
        <w:rPr>
          <w:spacing w:val="-5"/>
          <w:sz w:val="22"/>
          <w:szCs w:val="22"/>
        </w:rPr>
        <w:t xml:space="preserve"> </w:t>
      </w:r>
      <w:r w:rsidR="005D7F64">
        <w:rPr>
          <w:sz w:val="22"/>
          <w:szCs w:val="22"/>
        </w:rPr>
        <w:t>or</w:t>
      </w:r>
      <w:r w:rsidR="005D7F64">
        <w:rPr>
          <w:spacing w:val="-5"/>
          <w:sz w:val="22"/>
          <w:szCs w:val="22"/>
        </w:rPr>
        <w:t xml:space="preserve"> </w:t>
      </w:r>
      <w:r w:rsidR="005D7F64">
        <w:rPr>
          <w:sz w:val="22"/>
          <w:szCs w:val="22"/>
        </w:rPr>
        <w:t>as</w:t>
      </w:r>
      <w:r w:rsidR="005D7F64">
        <w:rPr>
          <w:spacing w:val="-4"/>
          <w:sz w:val="22"/>
          <w:szCs w:val="22"/>
        </w:rPr>
        <w:t xml:space="preserve"> </w:t>
      </w:r>
      <w:r w:rsidR="005D7F64">
        <w:rPr>
          <w:sz w:val="22"/>
          <w:szCs w:val="22"/>
        </w:rPr>
        <w:t>set</w:t>
      </w:r>
      <w:r w:rsidR="005D7F64">
        <w:rPr>
          <w:spacing w:val="-5"/>
          <w:sz w:val="22"/>
          <w:szCs w:val="22"/>
        </w:rPr>
        <w:t xml:space="preserve"> </w:t>
      </w:r>
      <w:r w:rsidR="005D7F64">
        <w:rPr>
          <w:sz w:val="22"/>
          <w:szCs w:val="22"/>
        </w:rPr>
        <w:t>forth</w:t>
      </w:r>
      <w:r w:rsidR="005D7F64">
        <w:rPr>
          <w:spacing w:val="-6"/>
          <w:sz w:val="22"/>
          <w:szCs w:val="22"/>
        </w:rPr>
        <w:t xml:space="preserve"> </w:t>
      </w:r>
      <w:r w:rsidR="005D7F64">
        <w:rPr>
          <w:sz w:val="22"/>
          <w:szCs w:val="22"/>
        </w:rPr>
        <w:t>in</w:t>
      </w:r>
      <w:r w:rsidR="005D7F64">
        <w:rPr>
          <w:spacing w:val="-5"/>
          <w:sz w:val="22"/>
          <w:szCs w:val="22"/>
        </w:rPr>
        <w:t xml:space="preserve"> </w:t>
      </w:r>
      <w:r w:rsidR="005D7F64">
        <w:rPr>
          <w:sz w:val="22"/>
          <w:szCs w:val="22"/>
        </w:rPr>
        <w:t>an</w:t>
      </w:r>
      <w:r w:rsidR="005D7F64">
        <w:rPr>
          <w:spacing w:val="-6"/>
          <w:sz w:val="22"/>
          <w:szCs w:val="22"/>
        </w:rPr>
        <w:t xml:space="preserve"> </w:t>
      </w:r>
      <w:r w:rsidR="005D7F64">
        <w:rPr>
          <w:sz w:val="22"/>
          <w:szCs w:val="22"/>
        </w:rPr>
        <w:t>applicable</w:t>
      </w:r>
      <w:r w:rsidR="005D7F64">
        <w:rPr>
          <w:spacing w:val="-5"/>
          <w:sz w:val="22"/>
          <w:szCs w:val="22"/>
        </w:rPr>
        <w:t xml:space="preserve"> </w:t>
      </w:r>
      <w:r w:rsidR="005D7F64">
        <w:rPr>
          <w:sz w:val="22"/>
          <w:szCs w:val="22"/>
        </w:rPr>
        <w:t>change</w:t>
      </w:r>
      <w:r w:rsidR="005D7F64">
        <w:rPr>
          <w:spacing w:val="-6"/>
          <w:sz w:val="22"/>
          <w:szCs w:val="22"/>
        </w:rPr>
        <w:t xml:space="preserve"> </w:t>
      </w:r>
      <w:r w:rsidR="005D7F64">
        <w:rPr>
          <w:sz w:val="22"/>
          <w:szCs w:val="22"/>
        </w:rPr>
        <w:t>control</w:t>
      </w:r>
      <w:r w:rsidR="005D7F64">
        <w:rPr>
          <w:spacing w:val="-4"/>
          <w:sz w:val="22"/>
          <w:szCs w:val="22"/>
        </w:rPr>
        <w:t xml:space="preserve"> </w:t>
      </w:r>
      <w:r w:rsidR="005D7F64">
        <w:rPr>
          <w:sz w:val="22"/>
          <w:szCs w:val="22"/>
        </w:rPr>
        <w:t>provision of the</w:t>
      </w:r>
      <w:r w:rsidR="005D7F64">
        <w:rPr>
          <w:spacing w:val="-1"/>
          <w:sz w:val="22"/>
          <w:szCs w:val="22"/>
        </w:rPr>
        <w:t xml:space="preserve"> </w:t>
      </w:r>
      <w:r w:rsidR="005D7F64">
        <w:rPr>
          <w:sz w:val="22"/>
          <w:szCs w:val="22"/>
        </w:rPr>
        <w:t>Agreement.</w:t>
      </w:r>
    </w:p>
    <w:p w14:paraId="6F3C4763" w14:textId="3809F824" w:rsidR="00430A7F" w:rsidRDefault="00430A7F" w:rsidP="00374669">
      <w:pPr>
        <w:pStyle w:val="Heading1"/>
        <w:keepNext/>
        <w:keepLines/>
        <w:widowControl/>
        <w:numPr>
          <w:ilvl w:val="0"/>
          <w:numId w:val="1"/>
        </w:numPr>
      </w:pPr>
      <w:r>
        <w:t xml:space="preserve">RELATIONSHIP WITH THE </w:t>
      </w:r>
      <w:r w:rsidR="00ED2DD6">
        <w:t xml:space="preserve">MASTER SERVICES </w:t>
      </w:r>
      <w:r>
        <w:t>AGREEMENT</w:t>
      </w:r>
    </w:p>
    <w:p w14:paraId="768BA01D" w14:textId="7037CB93" w:rsidR="00430A7F" w:rsidRDefault="00430A7F" w:rsidP="00374669">
      <w:pPr>
        <w:pStyle w:val="BodyText"/>
        <w:keepNext/>
        <w:keepLines/>
        <w:widowControl/>
        <w:numPr>
          <w:ilvl w:val="1"/>
          <w:numId w:val="1"/>
        </w:numPr>
        <w:ind w:left="720" w:hanging="540"/>
      </w:pPr>
      <w:r>
        <w:t xml:space="preserve">The Parties </w:t>
      </w:r>
      <w:r w:rsidR="001140C3">
        <w:t xml:space="preserve">agree that this DPA shall replace and </w:t>
      </w:r>
      <w:r w:rsidR="002C51B6">
        <w:t>supersede</w:t>
      </w:r>
      <w:r w:rsidR="001140C3">
        <w:t xml:space="preserve"> any existing data processing addendum, attachment, exhibit or standard contractual </w:t>
      </w:r>
      <w:r w:rsidR="002C51B6">
        <w:t>clauses</w:t>
      </w:r>
      <w:r w:rsidR="001140C3">
        <w:t xml:space="preserve"> that DNAnexus and Customer may have previous </w:t>
      </w:r>
      <w:proofErr w:type="gramStart"/>
      <w:r w:rsidR="001140C3">
        <w:t>entered into</w:t>
      </w:r>
      <w:proofErr w:type="gramEnd"/>
      <w:r w:rsidR="001140C3">
        <w:t xml:space="preserve"> in connection with the DNAnexus offerings. </w:t>
      </w:r>
    </w:p>
    <w:p w14:paraId="658A822D" w14:textId="09C9F04E" w:rsidR="001140C3" w:rsidRDefault="001140C3" w:rsidP="00262553">
      <w:pPr>
        <w:pStyle w:val="BodyText"/>
        <w:numPr>
          <w:ilvl w:val="1"/>
          <w:numId w:val="1"/>
        </w:numPr>
        <w:tabs>
          <w:tab w:val="left" w:pos="720"/>
        </w:tabs>
        <w:ind w:left="720" w:hanging="540"/>
      </w:pPr>
      <w:r>
        <w:t xml:space="preserve">Except as provided </w:t>
      </w:r>
      <w:r w:rsidR="004048F2">
        <w:t xml:space="preserve">by this DPA, the </w:t>
      </w:r>
      <w:r w:rsidR="006A25E1">
        <w:t>Master Subscription Agreement</w:t>
      </w:r>
      <w:r w:rsidR="004048F2">
        <w:t xml:space="preserve"> remains unchanged and in full force and effect. If there is any conflict between this DPA and the </w:t>
      </w:r>
      <w:r w:rsidR="006A25E1">
        <w:t>Master Subscription Agreement</w:t>
      </w:r>
      <w:r w:rsidR="004048F2">
        <w:t>, this DPA shall prevail to the extent of that conflict in connection with the Processing of Customer Personal Data. Notwithstanding the foregoing, and solely to the extent applicable to any Customer Personal Data comprised of patient, medical or other protected health information regulated by HIPAA or similar U.S. federal or state health care laws, rules or regulations (“</w:t>
      </w:r>
      <w:r w:rsidR="004048F2">
        <w:rPr>
          <w:b/>
          <w:bCs/>
        </w:rPr>
        <w:t>HIPAA</w:t>
      </w:r>
      <w:r w:rsidR="004048F2">
        <w:t>”), if there is any conflict between this DPA and a business associate agreement between Customer and DNAnexus (“</w:t>
      </w:r>
      <w:r w:rsidR="004048F2">
        <w:rPr>
          <w:b/>
          <w:bCs/>
        </w:rPr>
        <w:t>BAA</w:t>
      </w:r>
      <w:r w:rsidR="004048F2">
        <w:t>”), then the BAA shall prevail solely with respect to such HIPAA Data.</w:t>
      </w:r>
      <w:r w:rsidR="00D55F9B">
        <w:t xml:space="preserve">  Notwithstanding the foregoing, and solely to the extent that the SCCs apply to the Processing of Personal Data hereunder, if there is any conflict between this DPA and the SCCs, then the SCCs shall prevail solely with respect to such Personal Data.</w:t>
      </w:r>
    </w:p>
    <w:p w14:paraId="0DB0EC1E" w14:textId="02F0BF21" w:rsidR="004048F2" w:rsidRDefault="004048F2" w:rsidP="00262553">
      <w:pPr>
        <w:pStyle w:val="BodyText"/>
        <w:numPr>
          <w:ilvl w:val="1"/>
          <w:numId w:val="1"/>
        </w:numPr>
        <w:ind w:left="720" w:hanging="630"/>
      </w:pPr>
      <w:r>
        <w:t xml:space="preserve">Notwithstanding anything to the contrary in the </w:t>
      </w:r>
      <w:r w:rsidR="006A25E1">
        <w:t>Master Subscription Agreement</w:t>
      </w:r>
      <w:r>
        <w:t xml:space="preserve"> or this DPA, </w:t>
      </w:r>
      <w:r w:rsidR="00306FCF">
        <w:t xml:space="preserve">except to the extent such liability cannot be limited by applicable law, including applicable Data Protection Laws, </w:t>
      </w:r>
      <w:r>
        <w:t>each party’s and all of its Affiliates’ liability, taken together in aggregate, arising out of or relating to this DP</w:t>
      </w:r>
      <w:r w:rsidR="002C51B6">
        <w:t>A</w:t>
      </w:r>
      <w:r>
        <w:t xml:space="preserve">, the SCCs, and any other data protection agreements in connection with the </w:t>
      </w:r>
      <w:r w:rsidR="006A25E1">
        <w:t>Master Subscription Agreement</w:t>
      </w:r>
      <w:r>
        <w:t xml:space="preserve"> (if any), shall be subject to any aggregate limitations on liability set out in the </w:t>
      </w:r>
      <w:r w:rsidR="006A25E1">
        <w:t>Master Subscription Agreement</w:t>
      </w:r>
      <w:r>
        <w:t xml:space="preserve">. Without limiting the Parties’ obligations under the </w:t>
      </w:r>
      <w:r w:rsidR="006A25E1">
        <w:t>Master Subscription Agreement</w:t>
      </w:r>
      <w:r w:rsidR="00ED32F8">
        <w:t>, each party agrees that any regulatory penalties incurred by one party (the “</w:t>
      </w:r>
      <w:r w:rsidR="00ED32F8">
        <w:rPr>
          <w:b/>
          <w:bCs/>
        </w:rPr>
        <w:t>Incurring Party</w:t>
      </w:r>
      <w:r w:rsidR="00ED32F8">
        <w:t xml:space="preserve">”) in relation to the Customer </w:t>
      </w:r>
      <w:r w:rsidR="002C51B6">
        <w:t>Personal</w:t>
      </w:r>
      <w:r w:rsidR="00ED32F8">
        <w:t xml:space="preserve"> Data that arise as a result of, or in connection with, the other party’s failure to comply with its obligations under this DPA or any applicable Data Protection Laws shall count toward and reduce the Incurring Party’s liability under the </w:t>
      </w:r>
      <w:r w:rsidR="006A25E1">
        <w:t>Master Subscription Agreement</w:t>
      </w:r>
      <w:r w:rsidR="00ED32F8">
        <w:t xml:space="preserve"> as if it were liability to the other party under the </w:t>
      </w:r>
      <w:r w:rsidR="006A25E1">
        <w:t>Master Subscription Agreement</w:t>
      </w:r>
      <w:r w:rsidR="00ED32F8">
        <w:t>.</w:t>
      </w:r>
    </w:p>
    <w:p w14:paraId="575EE05D" w14:textId="78C0487E" w:rsidR="00ED32F8" w:rsidRDefault="00ED32F8" w:rsidP="00262553">
      <w:pPr>
        <w:pStyle w:val="BodyText"/>
        <w:numPr>
          <w:ilvl w:val="1"/>
          <w:numId w:val="1"/>
        </w:numPr>
        <w:ind w:left="720" w:hanging="630"/>
      </w:pPr>
      <w:r>
        <w:t>In no event shall this DPA benefit or create any right or cause of action on behalf of a third party (including a Third-Party Controller), but without prejudice to the rights or remedies available to Data Subjects under Data Protection Laws or this DPA (including the SCCs).</w:t>
      </w:r>
    </w:p>
    <w:p w14:paraId="6DD222BA" w14:textId="091DF146" w:rsidR="00ED32F8" w:rsidRPr="00430A7F" w:rsidRDefault="00ED32F8" w:rsidP="00262553">
      <w:pPr>
        <w:pStyle w:val="BodyText"/>
        <w:numPr>
          <w:ilvl w:val="1"/>
          <w:numId w:val="1"/>
        </w:numPr>
        <w:ind w:left="720" w:hanging="630"/>
      </w:pPr>
      <w:r>
        <w:t xml:space="preserve">This DPA will be governed and construed in accordance with governing law and jurisdiction provisions of the </w:t>
      </w:r>
      <w:r w:rsidR="006A25E1">
        <w:t>Master Subscription Agreement</w:t>
      </w:r>
      <w:r w:rsidR="009F4955">
        <w:t>, except as otherwise required by applicable Data Protection Law, including where the SCCs apply</w:t>
      </w:r>
      <w:r w:rsidR="00955D27">
        <w:t xml:space="preserve">. </w:t>
      </w:r>
    </w:p>
    <w:p w14:paraId="318B3CB2" w14:textId="77777777" w:rsidR="00CF2612" w:rsidRPr="00CF2612" w:rsidRDefault="00CF2612" w:rsidP="00CF2612">
      <w:pPr>
        <w:pStyle w:val="ListParagraph"/>
        <w:tabs>
          <w:tab w:val="left" w:pos="829"/>
        </w:tabs>
        <w:kinsoku w:val="0"/>
        <w:overflowPunct w:val="0"/>
        <w:ind w:right="105"/>
        <w:rPr>
          <w:sz w:val="22"/>
          <w:szCs w:val="22"/>
        </w:rPr>
      </w:pPr>
      <w:r>
        <w:rPr>
          <w:sz w:val="22"/>
          <w:szCs w:val="22"/>
        </w:rPr>
        <w:br w:type="page"/>
      </w:r>
    </w:p>
    <w:p w14:paraId="48B40C5F" w14:textId="293C2152" w:rsidR="00E50C44" w:rsidRDefault="001E601D" w:rsidP="002A1DDD">
      <w:pPr>
        <w:pStyle w:val="Heading1"/>
        <w:jc w:val="center"/>
        <w:rPr>
          <w:noProof/>
        </w:rPr>
      </w:pPr>
      <w:r>
        <w:rPr>
          <w:noProof/>
        </w:rPr>
        <w:lastRenderedPageBreak/>
        <w:t xml:space="preserve">Schedule 1: </w:t>
      </w:r>
      <w:r w:rsidR="00E50C44">
        <w:rPr>
          <w:noProof/>
        </w:rPr>
        <w:t>STANDARD CONTRACTUAL CLAUSES</w:t>
      </w:r>
    </w:p>
    <w:p w14:paraId="1D4616C4" w14:textId="77EEC102" w:rsidR="00220B48" w:rsidRDefault="00220B48" w:rsidP="00220B48">
      <w:pPr>
        <w:pStyle w:val="ListParagraph"/>
        <w:tabs>
          <w:tab w:val="left" w:pos="829"/>
        </w:tabs>
        <w:kinsoku w:val="0"/>
        <w:overflowPunct w:val="0"/>
        <w:spacing w:before="119"/>
        <w:ind w:left="0" w:right="105"/>
        <w:rPr>
          <w:sz w:val="22"/>
          <w:szCs w:val="22"/>
        </w:rPr>
      </w:pPr>
      <w:r>
        <w:rPr>
          <w:sz w:val="22"/>
          <w:szCs w:val="22"/>
        </w:rPr>
        <w:t xml:space="preserve">If, and to the extent, Applicable Data Protection Law requires the parties to </w:t>
      </w:r>
      <w:proofErr w:type="gramStart"/>
      <w:r>
        <w:rPr>
          <w:sz w:val="22"/>
          <w:szCs w:val="22"/>
        </w:rPr>
        <w:t>enter into</w:t>
      </w:r>
      <w:proofErr w:type="gramEnd"/>
      <w:r>
        <w:rPr>
          <w:sz w:val="22"/>
          <w:szCs w:val="22"/>
        </w:rPr>
        <w:t xml:space="preserve"> the SCCs in connection with the Processing of Personal Data, each party is deemed to have executed the SCCs by entering into this DPA. The below shall apply to the SCCs, including the election of specific terms and/or optional clauses as described in more detail in (</w:t>
      </w:r>
      <w:proofErr w:type="spellStart"/>
      <w:r>
        <w:rPr>
          <w:sz w:val="22"/>
          <w:szCs w:val="22"/>
        </w:rPr>
        <w:t>i</w:t>
      </w:r>
      <w:proofErr w:type="spellEnd"/>
      <w:r>
        <w:rPr>
          <w:sz w:val="22"/>
          <w:szCs w:val="22"/>
        </w:rPr>
        <w:t>) through (x) below, and any optional clauses not expressly selected are not included:</w:t>
      </w:r>
    </w:p>
    <w:p w14:paraId="24E410AE" w14:textId="77777777" w:rsidR="00220B48" w:rsidRDefault="00220B48" w:rsidP="00220B48">
      <w:pPr>
        <w:pStyle w:val="ListParagraph"/>
        <w:numPr>
          <w:ilvl w:val="0"/>
          <w:numId w:val="51"/>
        </w:numPr>
        <w:tabs>
          <w:tab w:val="left" w:pos="810"/>
          <w:tab w:val="left" w:pos="1260"/>
        </w:tabs>
        <w:kinsoku w:val="0"/>
        <w:overflowPunct w:val="0"/>
        <w:spacing w:before="119"/>
        <w:ind w:right="105"/>
        <w:rPr>
          <w:sz w:val="22"/>
          <w:szCs w:val="22"/>
        </w:rPr>
      </w:pPr>
      <w:r>
        <w:rPr>
          <w:sz w:val="22"/>
          <w:szCs w:val="22"/>
        </w:rPr>
        <w:t xml:space="preserve">The Module 2 terms apply to the extent Customer is a Data Controller and the Module 3 terms apply to the extent Customer is a Data Processor of the Customer Personal </w:t>
      </w:r>
      <w:proofErr w:type="gramStart"/>
      <w:r>
        <w:rPr>
          <w:sz w:val="22"/>
          <w:szCs w:val="22"/>
        </w:rPr>
        <w:t>Data;</w:t>
      </w:r>
      <w:proofErr w:type="gramEnd"/>
    </w:p>
    <w:p w14:paraId="5C60B4E2"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The optional Clause 7 (Docking Clause) in Section I of the SCCs is incorporated, and </w:t>
      </w:r>
      <w:proofErr w:type="spellStart"/>
      <w:r>
        <w:rPr>
          <w:sz w:val="22"/>
          <w:szCs w:val="22"/>
        </w:rPr>
        <w:t>Authorised</w:t>
      </w:r>
      <w:proofErr w:type="spellEnd"/>
      <w:r>
        <w:rPr>
          <w:sz w:val="22"/>
          <w:szCs w:val="22"/>
        </w:rPr>
        <w:t xml:space="preserve"> Affiliates may accede to this DPA and the SCCs under the same terms and conditions as Customer, subject to </w:t>
      </w:r>
      <w:r w:rsidRPr="00D728A7">
        <w:rPr>
          <w:sz w:val="22"/>
          <w:szCs w:val="22"/>
        </w:rPr>
        <w:t xml:space="preserve">Section </w:t>
      </w:r>
      <w:r>
        <w:rPr>
          <w:sz w:val="22"/>
          <w:szCs w:val="22"/>
        </w:rPr>
        <w:t xml:space="preserve">3.3 of this DPA via mutual agreement of the </w:t>
      </w:r>
      <w:proofErr w:type="gramStart"/>
      <w:r>
        <w:rPr>
          <w:sz w:val="22"/>
          <w:szCs w:val="22"/>
        </w:rPr>
        <w:t>Parties;</w:t>
      </w:r>
      <w:proofErr w:type="gramEnd"/>
    </w:p>
    <w:p w14:paraId="05081B7F"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For purpose of Clause 9 of the SCCs, Option 2 (“General written authorization”) is selected and the process and time period for the addition or replacement of Sub-processors shall be as described </w:t>
      </w:r>
      <w:r w:rsidRPr="0050775F">
        <w:rPr>
          <w:sz w:val="22"/>
          <w:szCs w:val="22"/>
        </w:rPr>
        <w:t xml:space="preserve">in Section </w:t>
      </w:r>
      <w:r>
        <w:rPr>
          <w:sz w:val="22"/>
          <w:szCs w:val="22"/>
        </w:rPr>
        <w:t xml:space="preserve">9 (sub-processing) of this DPA and identified in Annex III of the </w:t>
      </w:r>
      <w:proofErr w:type="gramStart"/>
      <w:r>
        <w:rPr>
          <w:sz w:val="22"/>
          <w:szCs w:val="22"/>
        </w:rPr>
        <w:t>SCCs;</w:t>
      </w:r>
      <w:proofErr w:type="gramEnd"/>
    </w:p>
    <w:p w14:paraId="23137F00"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For purposes of Clause 13 and Annex I of the SCCs, the following shall apply [</w:t>
      </w:r>
      <w:r w:rsidRPr="0062030D">
        <w:rPr>
          <w:sz w:val="22"/>
          <w:szCs w:val="22"/>
          <w:highlight w:val="yellow"/>
        </w:rPr>
        <w:t>CUSTOMER TO SELECT APPLICABLE PROVISION</w:t>
      </w:r>
      <w:r>
        <w:rPr>
          <w:sz w:val="22"/>
          <w:szCs w:val="22"/>
        </w:rPr>
        <w:t>]:</w:t>
      </w:r>
    </w:p>
    <w:p w14:paraId="3DFBEEC1" w14:textId="77777777" w:rsidR="00220B48" w:rsidRPr="0062030D" w:rsidRDefault="00220B48" w:rsidP="00220B48">
      <w:pPr>
        <w:pStyle w:val="ListParagraph"/>
        <w:tabs>
          <w:tab w:val="left" w:pos="810"/>
          <w:tab w:val="left" w:pos="1260"/>
        </w:tabs>
        <w:kinsoku w:val="0"/>
        <w:overflowPunct w:val="0"/>
        <w:spacing w:before="119"/>
        <w:ind w:left="810" w:right="105"/>
      </w:pPr>
      <w:r w:rsidRPr="0062030D">
        <w:rPr>
          <w:highlight w:val="yellow"/>
        </w:rPr>
        <w:t>[Where the data exporter is established in an EU Member State:]</w:t>
      </w:r>
      <w:r w:rsidRPr="0062030D">
        <w:t xml:space="preserve"> The supervisory authority with responsibility for ensuring compliance by the data exporter with Regulation (EU) 2016/679 as regards the data transfer, as indicated in Annex I.C, shall act as competent supervisory authority.</w:t>
      </w:r>
    </w:p>
    <w:p w14:paraId="05032E18" w14:textId="77777777" w:rsidR="00220B48" w:rsidRPr="0062030D" w:rsidRDefault="00220B48" w:rsidP="00220B48">
      <w:pPr>
        <w:pStyle w:val="oj-normal"/>
        <w:ind w:left="720"/>
        <w:jc w:val="both"/>
        <w:rPr>
          <w:sz w:val="22"/>
          <w:szCs w:val="22"/>
        </w:rPr>
      </w:pPr>
      <w:r w:rsidRPr="0062030D">
        <w:rPr>
          <w:sz w:val="22"/>
          <w:szCs w:val="22"/>
          <w:highlight w:val="yellow"/>
        </w:rPr>
        <w:t>[Where the data exporter is not established in an EU Member State, but falls within the territorial scope of application of Regulation (EU) 2016/679 in accordance with its Article 3(2) and has appointed a representative pursuant to Article 27(1) of Regulation (EU) 2016/679:] The</w:t>
      </w:r>
      <w:r w:rsidRPr="0062030D">
        <w:rPr>
          <w:sz w:val="22"/>
          <w:szCs w:val="22"/>
        </w:rPr>
        <w:t xml:space="preserve"> supervisory authority of the Member State in which the representative within the meaning of Article 27(1) of Regulation (EU) 2016/679 is established, as indicated in Annex I.C, shall act as competent supervisory authority.</w:t>
      </w:r>
    </w:p>
    <w:p w14:paraId="660C093C" w14:textId="5CBDCC11" w:rsidR="00220B48" w:rsidRPr="0062030D" w:rsidRDefault="00220B48" w:rsidP="00220B48">
      <w:pPr>
        <w:pStyle w:val="oj-normal"/>
        <w:ind w:left="720"/>
        <w:jc w:val="both"/>
        <w:rPr>
          <w:sz w:val="22"/>
          <w:szCs w:val="22"/>
          <w:lang w:val="en-GB"/>
        </w:rPr>
      </w:pPr>
      <w:r w:rsidRPr="0062030D">
        <w:rPr>
          <w:sz w:val="22"/>
          <w:szCs w:val="22"/>
          <w:highlight w:val="yellow"/>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sidRPr="0062030D">
        <w:rPr>
          <w:sz w:val="22"/>
          <w:szCs w:val="22"/>
        </w:rPr>
        <w:t xml:space="preserve"> The supervisory authority of one of the Member States in which the data subjects whose personal data is transferred under these Clauses in relation to the offering of goods or services to them, or whose </w:t>
      </w:r>
      <w:r w:rsidR="002B24A7" w:rsidRPr="0062030D">
        <w:rPr>
          <w:sz w:val="22"/>
          <w:szCs w:val="22"/>
        </w:rPr>
        <w:t>behavior</w:t>
      </w:r>
      <w:r w:rsidRPr="0062030D">
        <w:rPr>
          <w:sz w:val="22"/>
          <w:szCs w:val="22"/>
        </w:rPr>
        <w:t xml:space="preserve"> is monitored, are located, as indicated in Annex I.C, shall act as competent supervisory authority.</w:t>
      </w:r>
      <w:r w:rsidRPr="0062030D">
        <w:rPr>
          <w:sz w:val="22"/>
          <w:szCs w:val="22"/>
          <w:lang w:val="en-GB"/>
        </w:rPr>
        <w:t xml:space="preserve"> </w:t>
      </w:r>
    </w:p>
    <w:p w14:paraId="76CB3DAD" w14:textId="77777777" w:rsidR="00220B48" w:rsidRDefault="00220B48" w:rsidP="00220B48">
      <w:pPr>
        <w:pStyle w:val="ListParagraph"/>
        <w:numPr>
          <w:ilvl w:val="0"/>
          <w:numId w:val="51"/>
        </w:numPr>
        <w:tabs>
          <w:tab w:val="left" w:pos="810"/>
          <w:tab w:val="left" w:pos="1260"/>
        </w:tabs>
        <w:kinsoku w:val="0"/>
        <w:overflowPunct w:val="0"/>
        <w:spacing w:before="119"/>
        <w:ind w:left="810" w:right="105" w:hanging="540"/>
        <w:rPr>
          <w:sz w:val="22"/>
          <w:szCs w:val="22"/>
        </w:rPr>
      </w:pPr>
      <w:r>
        <w:rPr>
          <w:sz w:val="22"/>
          <w:szCs w:val="22"/>
        </w:rPr>
        <w:t xml:space="preserve">For purpose of Clause 17 and Clause 18 of </w:t>
      </w:r>
      <w:r w:rsidRPr="00180B35">
        <w:rPr>
          <w:sz w:val="22"/>
          <w:szCs w:val="22"/>
        </w:rPr>
        <w:t>the</w:t>
      </w:r>
      <w:r>
        <w:rPr>
          <w:sz w:val="22"/>
          <w:szCs w:val="22"/>
        </w:rPr>
        <w:t xml:space="preserve"> SCCs, the Member State for purpose of governing law and jurisdiction shall be the Republic of </w:t>
      </w:r>
      <w:proofErr w:type="gramStart"/>
      <w:r>
        <w:rPr>
          <w:sz w:val="22"/>
          <w:szCs w:val="22"/>
        </w:rPr>
        <w:t>Ireland;</w:t>
      </w:r>
      <w:proofErr w:type="gramEnd"/>
    </w:p>
    <w:p w14:paraId="6E0A11DA" w14:textId="77777777" w:rsidR="00220B48" w:rsidRPr="00CF2612" w:rsidRDefault="00220B48" w:rsidP="00220B48">
      <w:pPr>
        <w:rPr>
          <w:noProof/>
          <w:spacing w:val="-2"/>
        </w:rPr>
      </w:pPr>
    </w:p>
    <w:p w14:paraId="135BC9B7" w14:textId="77777777" w:rsidR="00220B48" w:rsidRPr="00CF2612" w:rsidRDefault="00220B48" w:rsidP="00220B48">
      <w:pPr>
        <w:rPr>
          <w:noProof/>
          <w:spacing w:val="-2"/>
        </w:rPr>
      </w:pPr>
    </w:p>
    <w:p w14:paraId="43562C26" w14:textId="77777777" w:rsidR="00220B48" w:rsidRPr="00CF2612" w:rsidRDefault="00220B48" w:rsidP="00220B48">
      <w:pPr>
        <w:rPr>
          <w:noProof/>
        </w:rPr>
      </w:pPr>
      <w:r w:rsidRPr="00CF2612">
        <w:rPr>
          <w:noProof/>
        </w:rPr>
        <w:t>DATA EXPORTER</w:t>
      </w:r>
    </w:p>
    <w:p w14:paraId="5BE89042" w14:textId="77777777" w:rsidR="00220B48" w:rsidRPr="00CF2612" w:rsidRDefault="00220B48" w:rsidP="00220B48">
      <w:pPr>
        <w:rPr>
          <w:noProof/>
        </w:rPr>
      </w:pPr>
      <w:r w:rsidRPr="00CF2612">
        <w:rPr>
          <w:noProof/>
        </w:rPr>
        <w:t>Name:………………………………</w:t>
      </w:r>
      <w:r w:rsidRPr="00CF2612">
        <w:rPr>
          <w:noProof/>
        </w:rPr>
        <w:tab/>
      </w:r>
    </w:p>
    <w:p w14:paraId="03F327BF" w14:textId="77777777" w:rsidR="00220B48" w:rsidRPr="00CF2612" w:rsidRDefault="00220B48" w:rsidP="00220B48">
      <w:pPr>
        <w:rPr>
          <w:noProof/>
        </w:rPr>
      </w:pPr>
    </w:p>
    <w:p w14:paraId="22486FDA" w14:textId="77777777" w:rsidR="00220B48" w:rsidRPr="00CF2612" w:rsidRDefault="00220B48" w:rsidP="00220B48">
      <w:pPr>
        <w:rPr>
          <w:noProof/>
        </w:rPr>
      </w:pPr>
      <w:r w:rsidRPr="00CF2612">
        <w:rPr>
          <w:noProof/>
        </w:rPr>
        <w:t>Authorised Signature ……………………</w:t>
      </w:r>
    </w:p>
    <w:p w14:paraId="4FF7D124" w14:textId="77777777" w:rsidR="00220B48" w:rsidRPr="00CF2612" w:rsidRDefault="00220B48" w:rsidP="00220B48">
      <w:pPr>
        <w:rPr>
          <w:noProof/>
        </w:rPr>
      </w:pPr>
    </w:p>
    <w:p w14:paraId="711F2ED6" w14:textId="77777777" w:rsidR="00220B48" w:rsidRPr="00CF2612" w:rsidRDefault="00220B48" w:rsidP="00220B48">
      <w:pPr>
        <w:rPr>
          <w:noProof/>
        </w:rPr>
      </w:pPr>
    </w:p>
    <w:p w14:paraId="5454C300" w14:textId="77777777" w:rsidR="00220B48" w:rsidRPr="00CF2612" w:rsidRDefault="00220B48" w:rsidP="00220B48">
      <w:pPr>
        <w:rPr>
          <w:noProof/>
        </w:rPr>
      </w:pPr>
    </w:p>
    <w:p w14:paraId="52C9A932" w14:textId="77777777" w:rsidR="00220B48" w:rsidRPr="00CF2612" w:rsidRDefault="00220B48" w:rsidP="00220B48">
      <w:pPr>
        <w:rPr>
          <w:noProof/>
        </w:rPr>
      </w:pPr>
      <w:r w:rsidRPr="00CF2612">
        <w:rPr>
          <w:noProof/>
        </w:rPr>
        <w:t>DATA IMPORTER</w:t>
      </w:r>
    </w:p>
    <w:p w14:paraId="1D6CC6F9" w14:textId="77777777" w:rsidR="00220B48" w:rsidRPr="00CF2612" w:rsidRDefault="00220B48" w:rsidP="00220B48">
      <w:pPr>
        <w:rPr>
          <w:noProof/>
        </w:rPr>
      </w:pPr>
      <w:r w:rsidRPr="00CF2612">
        <w:rPr>
          <w:noProof/>
        </w:rPr>
        <w:t>Name:</w:t>
      </w:r>
      <w:r>
        <w:rPr>
          <w:b/>
          <w:noProof/>
        </w:rPr>
        <w:t>DNAnexus, Inc.</w:t>
      </w:r>
    </w:p>
    <w:p w14:paraId="7119EFD5" w14:textId="77777777" w:rsidR="00220B48" w:rsidRPr="00CF2612" w:rsidRDefault="00220B48" w:rsidP="00220B48">
      <w:pPr>
        <w:rPr>
          <w:noProof/>
        </w:rPr>
      </w:pPr>
    </w:p>
    <w:p w14:paraId="0B12B31F" w14:textId="77777777" w:rsidR="00220B48" w:rsidRPr="00CF2612" w:rsidRDefault="00220B48" w:rsidP="00220B48">
      <w:pPr>
        <w:rPr>
          <w:noProof/>
        </w:rPr>
      </w:pPr>
      <w:r w:rsidRPr="00CF2612">
        <w:rPr>
          <w:noProof/>
        </w:rPr>
        <w:t>Authorised Signature ……………………</w:t>
      </w:r>
    </w:p>
    <w:p w14:paraId="676E5FBC" w14:textId="77777777" w:rsidR="00220B48" w:rsidRPr="00CF2612" w:rsidRDefault="00220B48" w:rsidP="00220B48">
      <w:pPr>
        <w:rPr>
          <w:rFonts w:eastAsia="Calibri"/>
          <w:b/>
          <w:noProof/>
          <w:u w:val="single"/>
          <w:lang w:val="en-GB"/>
        </w:rPr>
      </w:pPr>
      <w:r w:rsidRPr="00CF2612">
        <w:rPr>
          <w:noProof/>
        </w:rPr>
        <w:br w:type="page"/>
      </w:r>
    </w:p>
    <w:p w14:paraId="2AE677C8" w14:textId="77777777" w:rsidR="009C72E0" w:rsidRDefault="009C72E0" w:rsidP="002A1DDD">
      <w:pPr>
        <w:pStyle w:val="Heading2"/>
        <w:rPr>
          <w:noProof/>
        </w:rPr>
      </w:pPr>
      <w:r>
        <w:rPr>
          <w:noProof/>
        </w:rPr>
        <w:lastRenderedPageBreak/>
        <w:t>ANNEX I</w:t>
      </w:r>
    </w:p>
    <w:p w14:paraId="668E0301" w14:textId="77777777" w:rsidR="009C72E0" w:rsidRDefault="009C72E0" w:rsidP="009C72E0">
      <w:pPr>
        <w:spacing w:before="240" w:after="120"/>
        <w:ind w:left="851"/>
        <w:jc w:val="both"/>
        <w:rPr>
          <w:b/>
          <w:noProof/>
          <w:sz w:val="24"/>
        </w:rPr>
      </w:pPr>
      <w:r>
        <w:rPr>
          <w:b/>
          <w:noProof/>
          <w:sz w:val="24"/>
        </w:rPr>
        <w:t>A. LIST OF PARTIES</w:t>
      </w:r>
    </w:p>
    <w:p w14:paraId="73DE2E1D" w14:textId="77777777" w:rsidR="009C72E0" w:rsidRPr="00262553" w:rsidRDefault="009C72E0" w:rsidP="009C72E0">
      <w:pPr>
        <w:spacing w:before="120" w:after="120"/>
        <w:jc w:val="both"/>
        <w:rPr>
          <w:i/>
        </w:rPr>
      </w:pPr>
      <w:r w:rsidRPr="00262553">
        <w:rPr>
          <w:b/>
        </w:rPr>
        <w:t xml:space="preserve">Data exporter(s): </w:t>
      </w:r>
      <w:r w:rsidRPr="00262553">
        <w:t>[</w:t>
      </w:r>
      <w:r w:rsidRPr="00262553">
        <w:rPr>
          <w:i/>
        </w:rPr>
        <w:t xml:space="preserve">Identity and contact details of the data exporter(s) and, where applicable, of its/their data protection officer and/or representative in the European Union] </w:t>
      </w:r>
    </w:p>
    <w:p w14:paraId="2D9C102A" w14:textId="77777777" w:rsidR="009C72E0" w:rsidRPr="00262553" w:rsidRDefault="009C72E0" w:rsidP="009C72E0">
      <w:pPr>
        <w:spacing w:before="120" w:after="120"/>
        <w:jc w:val="both"/>
      </w:pPr>
      <w:r w:rsidRPr="00262553">
        <w:t>1. Name</w:t>
      </w:r>
      <w:r w:rsidRPr="00262553">
        <w:rPr>
          <w:highlight w:val="yellow"/>
        </w:rPr>
        <w:t>: …</w:t>
      </w:r>
    </w:p>
    <w:p w14:paraId="5724D806" w14:textId="77777777" w:rsidR="009C72E0" w:rsidRPr="00262553" w:rsidRDefault="009C72E0" w:rsidP="009C72E0">
      <w:pPr>
        <w:spacing w:before="120" w:after="120"/>
        <w:jc w:val="both"/>
      </w:pPr>
      <w:r w:rsidRPr="00262553">
        <w:t>Address</w:t>
      </w:r>
      <w:r w:rsidRPr="00262553">
        <w:rPr>
          <w:highlight w:val="yellow"/>
        </w:rPr>
        <w:t>: …</w:t>
      </w:r>
    </w:p>
    <w:p w14:paraId="3B8043EF" w14:textId="77777777" w:rsidR="009C72E0" w:rsidRPr="00262553" w:rsidRDefault="009C72E0" w:rsidP="009C72E0">
      <w:pPr>
        <w:spacing w:before="120" w:after="120"/>
        <w:jc w:val="both"/>
      </w:pPr>
      <w:r w:rsidRPr="00262553">
        <w:t xml:space="preserve">Contact person’s name, position and contact details: </w:t>
      </w:r>
      <w:r w:rsidRPr="00262553">
        <w:rPr>
          <w:highlight w:val="yellow"/>
        </w:rPr>
        <w:t>…</w:t>
      </w:r>
    </w:p>
    <w:p w14:paraId="42BAF4ED" w14:textId="5BBF6D75" w:rsidR="009C72E0" w:rsidRPr="00262553" w:rsidRDefault="009C72E0" w:rsidP="009C72E0">
      <w:pPr>
        <w:spacing w:before="120" w:after="120"/>
        <w:jc w:val="both"/>
      </w:pPr>
      <w:r w:rsidRPr="00262553">
        <w:t>Activities relevant to the data transferred under these Clauses:</w:t>
      </w:r>
    </w:p>
    <w:p w14:paraId="3B1C592B" w14:textId="38FE5908" w:rsidR="00FB1771" w:rsidRPr="009F2D2B" w:rsidRDefault="00FB1771" w:rsidP="009C72E0">
      <w:pPr>
        <w:spacing w:before="120" w:after="120"/>
        <w:jc w:val="both"/>
        <w:rPr>
          <w:noProof/>
          <w:szCs w:val="20"/>
        </w:rPr>
      </w:pPr>
      <w:r w:rsidRPr="009F2D2B">
        <w:rPr>
          <w:noProof/>
          <w:szCs w:val="20"/>
        </w:rPr>
        <w:t>Use of the DNAnexus plat</w:t>
      </w:r>
      <w:r w:rsidR="009F2D2B" w:rsidRPr="009F2D2B">
        <w:rPr>
          <w:noProof/>
          <w:szCs w:val="20"/>
        </w:rPr>
        <w:t>f</w:t>
      </w:r>
      <w:r w:rsidRPr="009F2D2B">
        <w:rPr>
          <w:noProof/>
          <w:szCs w:val="20"/>
        </w:rPr>
        <w:t>or</w:t>
      </w:r>
      <w:r w:rsidR="009F2D2B" w:rsidRPr="009F2D2B">
        <w:rPr>
          <w:noProof/>
          <w:szCs w:val="20"/>
        </w:rPr>
        <w:t>m</w:t>
      </w:r>
      <w:r w:rsidRPr="009F2D2B">
        <w:rPr>
          <w:noProof/>
          <w:szCs w:val="20"/>
        </w:rPr>
        <w:t xml:space="preserve"> processing……</w:t>
      </w:r>
    </w:p>
    <w:p w14:paraId="031CF8CD" w14:textId="77777777" w:rsidR="00FB1771" w:rsidRPr="009F2D2B" w:rsidRDefault="00FB1771" w:rsidP="009C72E0">
      <w:pPr>
        <w:spacing w:before="120" w:after="120"/>
        <w:jc w:val="both"/>
        <w:rPr>
          <w:noProof/>
          <w:szCs w:val="20"/>
        </w:rPr>
      </w:pPr>
    </w:p>
    <w:p w14:paraId="1952FE6B" w14:textId="77777777" w:rsidR="009C72E0" w:rsidRPr="00262553" w:rsidRDefault="009C72E0" w:rsidP="009C72E0">
      <w:pPr>
        <w:spacing w:before="120" w:after="120"/>
        <w:jc w:val="both"/>
      </w:pPr>
      <w:r w:rsidRPr="00262553">
        <w:t>Signature and date: …</w:t>
      </w:r>
    </w:p>
    <w:p w14:paraId="6C1D0BC1" w14:textId="594B92D5" w:rsidR="009C72E0" w:rsidRPr="00262553" w:rsidRDefault="009C72E0" w:rsidP="009C72E0">
      <w:pPr>
        <w:spacing w:before="120" w:after="120"/>
        <w:jc w:val="both"/>
      </w:pPr>
      <w:r w:rsidRPr="00262553">
        <w:t>Role (controller/processor): …</w:t>
      </w:r>
    </w:p>
    <w:p w14:paraId="3AFAB797" w14:textId="77777777" w:rsidR="009C72E0" w:rsidRPr="00262553" w:rsidRDefault="009C72E0" w:rsidP="009C72E0">
      <w:pPr>
        <w:spacing w:before="120" w:after="120"/>
        <w:jc w:val="both"/>
        <w:rPr>
          <w:i/>
        </w:rPr>
      </w:pPr>
      <w:r w:rsidRPr="00262553">
        <w:rPr>
          <w:b/>
        </w:rPr>
        <w:t xml:space="preserve">Data importer(s): </w:t>
      </w:r>
      <w:r w:rsidRPr="00262553">
        <w:t>[</w:t>
      </w:r>
      <w:r w:rsidRPr="00262553">
        <w:rPr>
          <w:i/>
        </w:rPr>
        <w:t>Identity and contact details of the data importer(s), including any contact person with responsibility for data protection]</w:t>
      </w:r>
    </w:p>
    <w:p w14:paraId="3F61F16D" w14:textId="77777777" w:rsidR="009C72E0" w:rsidRPr="00262553" w:rsidRDefault="009C72E0" w:rsidP="009C72E0">
      <w:pPr>
        <w:spacing w:before="120" w:after="120"/>
        <w:jc w:val="both"/>
      </w:pPr>
      <w:r w:rsidRPr="00262553">
        <w:t xml:space="preserve">1. Name: </w:t>
      </w:r>
      <w:r w:rsidR="00D00A88" w:rsidRPr="00262553">
        <w:t>DNAnexus, Inc.</w:t>
      </w:r>
    </w:p>
    <w:p w14:paraId="2B77A6B6" w14:textId="77777777" w:rsidR="009C72E0" w:rsidRPr="00262553" w:rsidRDefault="009C72E0" w:rsidP="009C72E0">
      <w:pPr>
        <w:spacing w:before="120" w:after="120"/>
        <w:jc w:val="both"/>
      </w:pPr>
      <w:r w:rsidRPr="00262553">
        <w:t>Address:</w:t>
      </w:r>
      <w:r w:rsidR="00D00A88" w:rsidRPr="00262553">
        <w:t xml:space="preserve"> 1975 W El Camino Real, Suite 204, Mountain View, CA 94040</w:t>
      </w:r>
    </w:p>
    <w:p w14:paraId="28434BDE" w14:textId="77777777" w:rsidR="009C72E0" w:rsidRPr="00262553" w:rsidRDefault="009C72E0" w:rsidP="009C72E0">
      <w:pPr>
        <w:spacing w:before="120" w:after="120"/>
        <w:jc w:val="both"/>
      </w:pPr>
      <w:r w:rsidRPr="00262553">
        <w:t>Contact person’s name, position and contact details:</w:t>
      </w:r>
      <w:r w:rsidR="00D00A88" w:rsidRPr="00262553">
        <w:t xml:space="preserve"> E. Loren Buhle, Jr. </w:t>
      </w:r>
      <w:proofErr w:type="spellStart"/>
      <w:proofErr w:type="gramStart"/>
      <w:r w:rsidR="00D00A88" w:rsidRPr="00262553">
        <w:t>Ph.D</w:t>
      </w:r>
      <w:proofErr w:type="spellEnd"/>
      <w:proofErr w:type="gramEnd"/>
      <w:r w:rsidR="00D00A88" w:rsidRPr="00262553">
        <w:t xml:space="preserve">, VP of Risk, Quality and Compliance, DNAnexus. Email: </w:t>
      </w:r>
      <w:r w:rsidR="002C51B6" w:rsidRPr="00262553">
        <w:t>privacy</w:t>
      </w:r>
      <w:r w:rsidR="00D00A88" w:rsidRPr="00262553">
        <w:t>@dnanexus.com</w:t>
      </w:r>
    </w:p>
    <w:p w14:paraId="38C23C85" w14:textId="77777777" w:rsidR="009C72E0" w:rsidRPr="00262553" w:rsidRDefault="009C72E0" w:rsidP="009C72E0">
      <w:pPr>
        <w:spacing w:before="120" w:after="120"/>
        <w:jc w:val="both"/>
      </w:pPr>
      <w:r w:rsidRPr="00262553">
        <w:t>Activities relevant to the data transferred under these Clauses: …</w:t>
      </w:r>
    </w:p>
    <w:p w14:paraId="0E988EFD" w14:textId="77777777" w:rsidR="009C72E0" w:rsidRPr="00262553" w:rsidRDefault="009C72E0" w:rsidP="009C72E0">
      <w:pPr>
        <w:spacing w:before="120" w:after="120"/>
        <w:jc w:val="both"/>
      </w:pPr>
      <w:r w:rsidRPr="00262553">
        <w:t xml:space="preserve">Signature and date: </w:t>
      </w:r>
      <w:r w:rsidRPr="00262553">
        <w:rPr>
          <w:highlight w:val="yellow"/>
        </w:rPr>
        <w:t>…</w:t>
      </w:r>
    </w:p>
    <w:p w14:paraId="0DB23D21" w14:textId="2949BB90" w:rsidR="009C72E0" w:rsidRPr="00262553" w:rsidRDefault="009C72E0" w:rsidP="009C72E0">
      <w:pPr>
        <w:spacing w:before="120" w:after="120"/>
        <w:jc w:val="both"/>
      </w:pPr>
      <w:r w:rsidRPr="00262553">
        <w:t>Role</w:t>
      </w:r>
      <w:r w:rsidRPr="009F2D2B">
        <w:rPr>
          <w:noProof/>
          <w:szCs w:val="20"/>
        </w:rPr>
        <w:t xml:space="preserve">: </w:t>
      </w:r>
      <w:r w:rsidR="001F76F2" w:rsidRPr="009F2D2B">
        <w:rPr>
          <w:noProof/>
          <w:szCs w:val="20"/>
        </w:rPr>
        <w:t>Processor</w:t>
      </w:r>
    </w:p>
    <w:p w14:paraId="7E274EE4" w14:textId="77777777" w:rsidR="009C72E0" w:rsidRDefault="009C72E0" w:rsidP="009C72E0">
      <w:pPr>
        <w:spacing w:before="240" w:after="120"/>
        <w:ind w:left="851"/>
        <w:jc w:val="both"/>
        <w:rPr>
          <w:b/>
          <w:noProof/>
          <w:sz w:val="24"/>
        </w:rPr>
      </w:pPr>
      <w:bookmarkStart w:id="3" w:name="_Ref42601435"/>
      <w:r>
        <w:rPr>
          <w:b/>
          <w:noProof/>
          <w:sz w:val="24"/>
        </w:rPr>
        <w:t>B. DESCRIPTION OF TRANSFER</w:t>
      </w:r>
      <w:bookmarkEnd w:id="3"/>
    </w:p>
    <w:p w14:paraId="44306700" w14:textId="7587738C" w:rsidR="009C72E0" w:rsidRPr="00262553" w:rsidRDefault="009C72E0" w:rsidP="009C72E0">
      <w:pPr>
        <w:spacing w:before="120" w:after="120"/>
        <w:jc w:val="both"/>
      </w:pPr>
      <w:r w:rsidRPr="00262553">
        <w:t>Categories of data subjects whose personal data is transferred</w:t>
      </w:r>
      <w:r w:rsidR="00B42242" w:rsidRPr="009F2D2B">
        <w:rPr>
          <w:iCs/>
          <w:noProof/>
          <w:szCs w:val="20"/>
        </w:rPr>
        <w:t>:</w:t>
      </w:r>
    </w:p>
    <w:p w14:paraId="0FEC4D76" w14:textId="78DC45C3" w:rsidR="009C72E0" w:rsidRPr="009F2D2B" w:rsidRDefault="00595E9E" w:rsidP="009C72E0">
      <w:pPr>
        <w:spacing w:before="120" w:after="120"/>
        <w:jc w:val="both"/>
        <w:rPr>
          <w:i/>
          <w:noProof/>
          <w:szCs w:val="20"/>
        </w:rPr>
      </w:pPr>
      <w:r w:rsidRPr="002A1DDD">
        <w:rPr>
          <w:i/>
          <w:noProof/>
          <w:szCs w:val="20"/>
          <w:highlight w:val="yellow"/>
        </w:rPr>
        <w:t>&lt;examples might include DNAnexus and Customer’s PII working on the platform (email address</w:t>
      </w:r>
      <w:r w:rsidR="004B5119" w:rsidRPr="002A1DDD">
        <w:rPr>
          <w:i/>
          <w:noProof/>
          <w:szCs w:val="20"/>
          <w:highlight w:val="yellow"/>
        </w:rPr>
        <w:t>, contact information&gt;</w:t>
      </w:r>
    </w:p>
    <w:p w14:paraId="356D4F10" w14:textId="317D5E86" w:rsidR="004B5119" w:rsidRPr="009F2D2B" w:rsidRDefault="004B5119" w:rsidP="004B5119">
      <w:pPr>
        <w:numPr>
          <w:ilvl w:val="0"/>
          <w:numId w:val="41"/>
        </w:numPr>
        <w:jc w:val="both"/>
        <w:rPr>
          <w:iCs/>
          <w:noProof/>
          <w:szCs w:val="20"/>
          <w:highlight w:val="yellow"/>
        </w:rPr>
      </w:pPr>
      <w:r w:rsidRPr="009F2D2B">
        <w:rPr>
          <w:iCs/>
          <w:noProof/>
          <w:szCs w:val="20"/>
          <w:highlight w:val="yellow"/>
        </w:rPr>
        <w:t>DNAnexus and Customer’s personnel working on the platform</w:t>
      </w:r>
    </w:p>
    <w:p w14:paraId="31A0041C" w14:textId="3858B29E" w:rsidR="004B5119" w:rsidRPr="009F2D2B" w:rsidRDefault="004B5119" w:rsidP="004B5119">
      <w:pPr>
        <w:numPr>
          <w:ilvl w:val="0"/>
          <w:numId w:val="41"/>
        </w:numPr>
        <w:jc w:val="both"/>
        <w:rPr>
          <w:iCs/>
          <w:noProof/>
          <w:szCs w:val="20"/>
          <w:highlight w:val="yellow"/>
        </w:rPr>
      </w:pPr>
      <w:r w:rsidRPr="009F2D2B">
        <w:rPr>
          <w:iCs/>
          <w:noProof/>
          <w:szCs w:val="20"/>
          <w:highlight w:val="yellow"/>
        </w:rPr>
        <w:t>Patient sampels involved in research</w:t>
      </w:r>
    </w:p>
    <w:p w14:paraId="77644EE7" w14:textId="37CE679B" w:rsidR="009C72E0" w:rsidRPr="00262553" w:rsidRDefault="009C72E0" w:rsidP="009C72E0">
      <w:pPr>
        <w:spacing w:before="120" w:after="120"/>
        <w:jc w:val="both"/>
        <w:rPr>
          <w:i/>
        </w:rPr>
      </w:pPr>
      <w:r w:rsidRPr="00262553">
        <w:rPr>
          <w:i/>
        </w:rPr>
        <w:t xml:space="preserve">Categories of personal data </w:t>
      </w:r>
      <w:r w:rsidR="009F727D" w:rsidRPr="00262553">
        <w:rPr>
          <w:i/>
        </w:rPr>
        <w:t>transferred</w:t>
      </w:r>
      <w:r w:rsidR="009F727D" w:rsidRPr="009F2D2B">
        <w:rPr>
          <w:i/>
          <w:noProof/>
          <w:szCs w:val="20"/>
        </w:rPr>
        <w:t xml:space="preserve"> (</w:t>
      </w:r>
      <w:r w:rsidR="004B5119" w:rsidRPr="009F2D2B">
        <w:rPr>
          <w:i/>
          <w:noProof/>
          <w:szCs w:val="20"/>
          <w:highlight w:val="yellow"/>
        </w:rPr>
        <w:t>example below)</w:t>
      </w:r>
    </w:p>
    <w:tbl>
      <w:tblPr>
        <w:tblStyle w:val="TableGrid"/>
        <w:tblW w:w="0" w:type="auto"/>
        <w:tblLook w:val="04A0" w:firstRow="1" w:lastRow="0" w:firstColumn="1" w:lastColumn="0" w:noHBand="0" w:noVBand="1"/>
      </w:tblPr>
      <w:tblGrid>
        <w:gridCol w:w="7119"/>
        <w:gridCol w:w="1605"/>
        <w:gridCol w:w="1706"/>
      </w:tblGrid>
      <w:tr w:rsidR="001F76F2" w14:paraId="0D4279D3" w14:textId="77777777" w:rsidTr="00BD276E">
        <w:trPr>
          <w:tblHeader/>
        </w:trPr>
        <w:tc>
          <w:tcPr>
            <w:tcW w:w="7308" w:type="dxa"/>
            <w:shd w:val="clear" w:color="auto" w:fill="FFF2CC" w:themeFill="accent4" w:themeFillTint="33"/>
          </w:tcPr>
          <w:p w14:paraId="511734AF" w14:textId="6C245FA4"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Data Category</w:t>
            </w:r>
          </w:p>
        </w:tc>
        <w:tc>
          <w:tcPr>
            <w:tcW w:w="1620" w:type="dxa"/>
            <w:shd w:val="clear" w:color="auto" w:fill="FFF2CC" w:themeFill="accent4" w:themeFillTint="33"/>
          </w:tcPr>
          <w:p w14:paraId="024CF9AA" w14:textId="0D1E4224"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DNAnexus &amp; Customer Personnel</w:t>
            </w:r>
          </w:p>
        </w:tc>
        <w:tc>
          <w:tcPr>
            <w:tcW w:w="1728" w:type="dxa"/>
            <w:shd w:val="clear" w:color="auto" w:fill="FFF2CC" w:themeFill="accent4" w:themeFillTint="33"/>
          </w:tcPr>
          <w:p w14:paraId="5E12AB4C" w14:textId="44FE72D0" w:rsidR="001F76F2" w:rsidRPr="001F76F2" w:rsidRDefault="001F76F2" w:rsidP="004B5119">
            <w:pPr>
              <w:spacing w:before="120" w:after="120"/>
              <w:jc w:val="center"/>
              <w:rPr>
                <w:rFonts w:ascii="Arial" w:hAnsi="Arial" w:cs="Arial"/>
                <w:iCs/>
                <w:noProof/>
                <w:sz w:val="20"/>
                <w:szCs w:val="20"/>
              </w:rPr>
            </w:pPr>
            <w:r w:rsidRPr="001F76F2">
              <w:rPr>
                <w:rFonts w:ascii="Arial" w:hAnsi="Arial" w:cs="Arial"/>
                <w:iCs/>
                <w:noProof/>
                <w:sz w:val="20"/>
                <w:szCs w:val="20"/>
              </w:rPr>
              <w:t>Patient Samples involved in Research</w:t>
            </w:r>
          </w:p>
        </w:tc>
      </w:tr>
      <w:tr w:rsidR="001F76F2" w14:paraId="5162047B" w14:textId="77777777" w:rsidTr="00BD276E">
        <w:tc>
          <w:tcPr>
            <w:tcW w:w="7308" w:type="dxa"/>
          </w:tcPr>
          <w:p w14:paraId="4A485DC2" w14:textId="36BB9B28" w:rsidR="001F76F2" w:rsidRPr="00A52E86" w:rsidRDefault="004B5119" w:rsidP="009C72E0">
            <w:pPr>
              <w:spacing w:before="120" w:after="120"/>
              <w:jc w:val="both"/>
              <w:rPr>
                <w:rFonts w:ascii="Arial" w:hAnsi="Arial" w:cs="Arial"/>
                <w:i/>
                <w:noProof/>
                <w:sz w:val="20"/>
                <w:szCs w:val="20"/>
                <w:highlight w:val="yellow"/>
              </w:rPr>
            </w:pPr>
            <w:r w:rsidRPr="00A52E86">
              <w:rPr>
                <w:rFonts w:ascii="Arial" w:hAnsi="Arial" w:cs="Arial"/>
                <w:b/>
                <w:bCs/>
                <w:iCs/>
                <w:noProof/>
                <w:sz w:val="20"/>
                <w:szCs w:val="20"/>
                <w:highlight w:val="yellow"/>
              </w:rPr>
              <w:t>Civil status</w:t>
            </w:r>
            <w:r w:rsidRPr="00A52E86">
              <w:rPr>
                <w:rFonts w:ascii="Arial" w:hAnsi="Arial" w:cs="Arial"/>
                <w:iCs/>
                <w:noProof/>
                <w:sz w:val="20"/>
                <w:szCs w:val="20"/>
                <w:highlight w:val="yellow"/>
              </w:rPr>
              <w:br/>
            </w:r>
            <w:r w:rsidRPr="00A52E86">
              <w:rPr>
                <w:rFonts w:ascii="Arial" w:hAnsi="Arial" w:cs="Arial"/>
                <w:i/>
                <w:noProof/>
                <w:sz w:val="20"/>
                <w:szCs w:val="20"/>
                <w:highlight w:val="yellow"/>
              </w:rPr>
              <w:t>(e.g. name, sex, age</w:t>
            </w:r>
            <w:r w:rsidR="00BD276E" w:rsidRPr="00A52E86">
              <w:rPr>
                <w:rFonts w:ascii="Arial" w:hAnsi="Arial" w:cs="Arial"/>
                <w:i/>
                <w:noProof/>
                <w:sz w:val="20"/>
                <w:szCs w:val="20"/>
                <w:highlight w:val="yellow"/>
              </w:rPr>
              <w:t>, etc.</w:t>
            </w:r>
            <w:r w:rsidRPr="00A52E86">
              <w:rPr>
                <w:rFonts w:ascii="Arial" w:hAnsi="Arial" w:cs="Arial"/>
                <w:i/>
                <w:noProof/>
                <w:sz w:val="20"/>
                <w:szCs w:val="20"/>
                <w:highlight w:val="yellow"/>
              </w:rPr>
              <w:t>)</w:t>
            </w:r>
          </w:p>
        </w:tc>
        <w:tc>
          <w:tcPr>
            <w:tcW w:w="1620" w:type="dxa"/>
          </w:tcPr>
          <w:p w14:paraId="5541A79A" w14:textId="2EE322C8" w:rsidR="001F76F2"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52C7ADC3" w14:textId="30AAA402" w:rsidR="001F76F2"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25CF30E4" w14:textId="77777777" w:rsidTr="00BD276E">
        <w:tc>
          <w:tcPr>
            <w:tcW w:w="7308" w:type="dxa"/>
          </w:tcPr>
          <w:p w14:paraId="3852B914" w14:textId="37FB33A5"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Contact information</w:t>
            </w:r>
            <w:r w:rsidRPr="00A52E86">
              <w:rPr>
                <w:rFonts w:ascii="Arial" w:hAnsi="Arial" w:cs="Arial"/>
                <w:iCs/>
                <w:noProof/>
                <w:sz w:val="20"/>
                <w:szCs w:val="20"/>
                <w:highlight w:val="yellow"/>
              </w:rPr>
              <w:br/>
              <w:t>(e.g. e-mail address, postal address, phone numbers, etc)</w:t>
            </w:r>
          </w:p>
        </w:tc>
        <w:tc>
          <w:tcPr>
            <w:tcW w:w="1620" w:type="dxa"/>
          </w:tcPr>
          <w:p w14:paraId="5892F84D" w14:textId="61EA3912"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194C791E" w14:textId="719C5C93"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3D15EC03" w14:textId="77777777" w:rsidTr="00BD276E">
        <w:tc>
          <w:tcPr>
            <w:tcW w:w="7308" w:type="dxa"/>
          </w:tcPr>
          <w:p w14:paraId="18936F20" w14:textId="32A461F3"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Data specifically related to the provision of electronic communication services</w:t>
            </w:r>
            <w:r w:rsidRPr="00A52E86">
              <w:rPr>
                <w:rFonts w:ascii="Arial" w:hAnsi="Arial" w:cs="Arial"/>
                <w:b/>
                <w:bCs/>
                <w:iCs/>
                <w:noProof/>
                <w:sz w:val="20"/>
                <w:szCs w:val="20"/>
                <w:highlight w:val="yellow"/>
              </w:rPr>
              <w:br/>
            </w:r>
            <w:r w:rsidRPr="00A52E86">
              <w:rPr>
                <w:rFonts w:ascii="Arial" w:hAnsi="Arial" w:cs="Arial"/>
                <w:iCs/>
                <w:noProof/>
                <w:sz w:val="20"/>
                <w:szCs w:val="20"/>
                <w:highlight w:val="yellow"/>
              </w:rPr>
              <w:t>(e.g. location data or connection, data on internet browsing histories, etc.)</w:t>
            </w:r>
          </w:p>
        </w:tc>
        <w:tc>
          <w:tcPr>
            <w:tcW w:w="1620" w:type="dxa"/>
          </w:tcPr>
          <w:p w14:paraId="6B1ADF5C" w14:textId="0842E70D"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00F7CA3B" w14:textId="09A68A29"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53B7A8C3" w14:textId="77777777" w:rsidTr="00BD276E">
        <w:tc>
          <w:tcPr>
            <w:tcW w:w="7308" w:type="dxa"/>
          </w:tcPr>
          <w:p w14:paraId="0D0BF9DF" w14:textId="482081A9" w:rsidR="00BD276E" w:rsidRPr="00A52E86" w:rsidRDefault="00BD276E" w:rsidP="00BD276E">
            <w:pPr>
              <w:spacing w:before="120" w:after="120"/>
              <w:jc w:val="both"/>
              <w:rPr>
                <w:rFonts w:ascii="Arial" w:hAnsi="Arial" w:cs="Arial"/>
                <w:iCs/>
                <w:noProof/>
                <w:sz w:val="20"/>
                <w:szCs w:val="20"/>
                <w:highlight w:val="yellow"/>
              </w:rPr>
            </w:pPr>
            <w:r w:rsidRPr="00A52E86">
              <w:rPr>
                <w:rFonts w:ascii="Arial" w:hAnsi="Arial" w:cs="Arial"/>
                <w:b/>
                <w:bCs/>
                <w:iCs/>
                <w:noProof/>
                <w:sz w:val="20"/>
                <w:szCs w:val="20"/>
                <w:highlight w:val="yellow"/>
              </w:rPr>
              <w:t xml:space="preserve">Identification or access data </w:t>
            </w:r>
            <w:r w:rsidRPr="00A52E86">
              <w:rPr>
                <w:rFonts w:ascii="Arial" w:hAnsi="Arial" w:cs="Arial"/>
                <w:b/>
                <w:bCs/>
                <w:iCs/>
                <w:noProof/>
                <w:sz w:val="20"/>
                <w:szCs w:val="20"/>
                <w:highlight w:val="yellow"/>
              </w:rPr>
              <w:br/>
            </w:r>
            <w:r w:rsidRPr="00A52E86">
              <w:rPr>
                <w:rFonts w:ascii="Arial" w:hAnsi="Arial" w:cs="Arial"/>
                <w:i/>
                <w:noProof/>
                <w:sz w:val="20"/>
                <w:szCs w:val="20"/>
                <w:highlight w:val="yellow"/>
              </w:rPr>
              <w:t>(e.g. login, passwords, API activity)</w:t>
            </w:r>
          </w:p>
        </w:tc>
        <w:tc>
          <w:tcPr>
            <w:tcW w:w="1620" w:type="dxa"/>
          </w:tcPr>
          <w:p w14:paraId="1F7DA998" w14:textId="2D4F4405"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32DFEDEF" w14:textId="54F12EB6"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53F658DE" w14:textId="77777777" w:rsidTr="00BD276E">
        <w:tc>
          <w:tcPr>
            <w:tcW w:w="7308" w:type="dxa"/>
          </w:tcPr>
          <w:p w14:paraId="1A7191AF" w14:textId="253BC7D9" w:rsidR="00BD276E" w:rsidRPr="00A52E86" w:rsidRDefault="00BD276E" w:rsidP="00BD276E">
            <w:pPr>
              <w:spacing w:before="120" w:after="120"/>
              <w:jc w:val="both"/>
              <w:rPr>
                <w:rFonts w:ascii="Arial" w:hAnsi="Arial" w:cs="Arial"/>
                <w:i/>
                <w:noProof/>
                <w:sz w:val="20"/>
                <w:szCs w:val="20"/>
                <w:highlight w:val="yellow"/>
              </w:rPr>
            </w:pPr>
            <w:r w:rsidRPr="00A52E86">
              <w:rPr>
                <w:rFonts w:ascii="Arial" w:hAnsi="Arial" w:cs="Arial"/>
                <w:b/>
                <w:bCs/>
                <w:iCs/>
                <w:noProof/>
                <w:sz w:val="20"/>
                <w:szCs w:val="20"/>
                <w:highlight w:val="yellow"/>
              </w:rPr>
              <w:lastRenderedPageBreak/>
              <w:t>Data relating to financial information</w:t>
            </w:r>
            <w:r w:rsidRPr="00A52E86">
              <w:rPr>
                <w:rFonts w:ascii="Arial" w:hAnsi="Arial" w:cs="Arial"/>
                <w:b/>
                <w:bCs/>
                <w:i/>
                <w:noProof/>
                <w:sz w:val="20"/>
                <w:szCs w:val="20"/>
                <w:highlight w:val="yellow"/>
              </w:rPr>
              <w:br/>
            </w:r>
            <w:r w:rsidRPr="00A52E86">
              <w:rPr>
                <w:rFonts w:ascii="Arial" w:hAnsi="Arial" w:cs="Arial"/>
                <w:i/>
                <w:noProof/>
                <w:sz w:val="20"/>
                <w:szCs w:val="20"/>
                <w:highlight w:val="yellow"/>
              </w:rPr>
              <w:t>(e.g. credit card information, bank details, Purchase Order, etc.)</w:t>
            </w:r>
          </w:p>
        </w:tc>
        <w:tc>
          <w:tcPr>
            <w:tcW w:w="1620" w:type="dxa"/>
          </w:tcPr>
          <w:p w14:paraId="11EEA897" w14:textId="5901290C"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p>
        </w:tc>
        <w:tc>
          <w:tcPr>
            <w:tcW w:w="1728" w:type="dxa"/>
          </w:tcPr>
          <w:p w14:paraId="0BC65D4F" w14:textId="1C9087C1" w:rsidR="00BD276E" w:rsidRPr="00A52E86" w:rsidRDefault="00BD276E" w:rsidP="00BD276E">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bl>
    <w:p w14:paraId="5E33E61B" w14:textId="1175418B" w:rsidR="009C72E0" w:rsidRPr="001F76F2" w:rsidRDefault="009C72E0" w:rsidP="009C72E0">
      <w:pPr>
        <w:spacing w:before="120" w:after="120"/>
        <w:jc w:val="both"/>
        <w:rPr>
          <w:iCs/>
          <w:noProof/>
          <w:sz w:val="24"/>
        </w:rPr>
      </w:pPr>
    </w:p>
    <w:p w14:paraId="080F931F" w14:textId="2ADD4333" w:rsidR="009C72E0" w:rsidRPr="00262553" w:rsidRDefault="009C72E0" w:rsidP="009C72E0">
      <w:pPr>
        <w:spacing w:before="120" w:after="120"/>
        <w:jc w:val="both"/>
        <w:rPr>
          <w:i/>
        </w:rPr>
      </w:pPr>
      <w:r w:rsidRPr="00262553">
        <w:rPr>
          <w:i/>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262553">
        <w:rPr>
          <w:i/>
        </w:rPr>
        <w:t>specialised</w:t>
      </w:r>
      <w:proofErr w:type="spellEnd"/>
      <w:r w:rsidRPr="00262553">
        <w:rPr>
          <w:i/>
        </w:rPr>
        <w:t xml:space="preserve"> training), keeping a record of access to the data, restrictions for onward transfers or additional security measures.</w:t>
      </w:r>
      <w:r w:rsidR="00BD276E" w:rsidRPr="009F2D2B">
        <w:rPr>
          <w:i/>
          <w:noProof/>
          <w:szCs w:val="20"/>
        </w:rPr>
        <w:br/>
      </w:r>
      <w:r w:rsidR="00BD276E" w:rsidRPr="009F2D2B">
        <w:rPr>
          <w:i/>
          <w:noProof/>
          <w:szCs w:val="20"/>
          <w:highlight w:val="yellow"/>
        </w:rPr>
        <w:t>Example below</w:t>
      </w:r>
    </w:p>
    <w:tbl>
      <w:tblPr>
        <w:tblStyle w:val="TableGrid"/>
        <w:tblW w:w="0" w:type="auto"/>
        <w:tblLook w:val="04A0" w:firstRow="1" w:lastRow="0" w:firstColumn="1" w:lastColumn="0" w:noHBand="0" w:noVBand="1"/>
      </w:tblPr>
      <w:tblGrid>
        <w:gridCol w:w="6241"/>
        <w:gridCol w:w="1605"/>
        <w:gridCol w:w="2584"/>
      </w:tblGrid>
      <w:tr w:rsidR="00BD276E" w14:paraId="11140B47" w14:textId="77777777" w:rsidTr="00A52E86">
        <w:trPr>
          <w:tblHeader/>
        </w:trPr>
        <w:tc>
          <w:tcPr>
            <w:tcW w:w="6408" w:type="dxa"/>
            <w:shd w:val="clear" w:color="auto" w:fill="FFF2CC"/>
          </w:tcPr>
          <w:p w14:paraId="30935E7C"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Data Category</w:t>
            </w:r>
          </w:p>
        </w:tc>
        <w:tc>
          <w:tcPr>
            <w:tcW w:w="1620" w:type="dxa"/>
            <w:shd w:val="clear" w:color="auto" w:fill="FFF2CC"/>
          </w:tcPr>
          <w:p w14:paraId="209C92B7"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DNAnexus &amp; Customer Personnel</w:t>
            </w:r>
          </w:p>
        </w:tc>
        <w:tc>
          <w:tcPr>
            <w:tcW w:w="2628" w:type="dxa"/>
            <w:shd w:val="clear" w:color="auto" w:fill="FFF2CC"/>
          </w:tcPr>
          <w:p w14:paraId="31B53DE3" w14:textId="77777777" w:rsidR="00BD276E" w:rsidRPr="001F76F2" w:rsidRDefault="00BD276E" w:rsidP="00FE4B91">
            <w:pPr>
              <w:spacing w:before="120" w:after="120"/>
              <w:jc w:val="center"/>
              <w:rPr>
                <w:rFonts w:ascii="Arial" w:hAnsi="Arial" w:cs="Arial"/>
                <w:iCs/>
                <w:noProof/>
                <w:sz w:val="20"/>
                <w:szCs w:val="20"/>
              </w:rPr>
            </w:pPr>
            <w:r w:rsidRPr="001F76F2">
              <w:rPr>
                <w:rFonts w:ascii="Arial" w:hAnsi="Arial" w:cs="Arial"/>
                <w:iCs/>
                <w:noProof/>
                <w:sz w:val="20"/>
                <w:szCs w:val="20"/>
              </w:rPr>
              <w:t>Patient Samples involved in Research</w:t>
            </w:r>
          </w:p>
        </w:tc>
      </w:tr>
      <w:tr w:rsidR="00BD276E" w14:paraId="60AB3DEF" w14:textId="77777777" w:rsidTr="00A52E86">
        <w:tc>
          <w:tcPr>
            <w:tcW w:w="6408" w:type="dxa"/>
          </w:tcPr>
          <w:p w14:paraId="49016627" w14:textId="131EE8D3" w:rsidR="00BD276E" w:rsidRPr="00A52E86" w:rsidRDefault="00BD276E" w:rsidP="00FE4B91">
            <w:pPr>
              <w:spacing w:before="120" w:after="120"/>
              <w:jc w:val="both"/>
              <w:rPr>
                <w:rFonts w:ascii="Arial" w:hAnsi="Arial" w:cs="Arial"/>
                <w:b/>
                <w:bCs/>
                <w:iCs/>
                <w:noProof/>
                <w:sz w:val="20"/>
                <w:szCs w:val="20"/>
                <w:highlight w:val="yellow"/>
              </w:rPr>
            </w:pPr>
            <w:r w:rsidRPr="00A52E86">
              <w:rPr>
                <w:rFonts w:ascii="Arial" w:hAnsi="Arial" w:cs="Arial"/>
                <w:b/>
                <w:bCs/>
                <w:iCs/>
                <w:noProof/>
                <w:sz w:val="20"/>
                <w:szCs w:val="20"/>
                <w:highlight w:val="yellow"/>
              </w:rPr>
              <w:t>Data revealing racioal or ethnic origin  or ethnic origin</w:t>
            </w:r>
          </w:p>
        </w:tc>
        <w:tc>
          <w:tcPr>
            <w:tcW w:w="1620" w:type="dxa"/>
          </w:tcPr>
          <w:p w14:paraId="55B8CB52" w14:textId="19195B8C"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2D5CEADF" w14:textId="61C6F0BB"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BD276E" w14:paraId="1926BFC4" w14:textId="77777777" w:rsidTr="00A52E86">
        <w:tc>
          <w:tcPr>
            <w:tcW w:w="6408" w:type="dxa"/>
          </w:tcPr>
          <w:p w14:paraId="2473DA42" w14:textId="208085B2"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Data revealing political opinions</w:t>
            </w:r>
          </w:p>
        </w:tc>
        <w:tc>
          <w:tcPr>
            <w:tcW w:w="1620" w:type="dxa"/>
          </w:tcPr>
          <w:p w14:paraId="0B88E70D" w14:textId="4B6ED950"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E14A5BB"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722B3153" w14:textId="77777777" w:rsidTr="00A52E86">
        <w:tc>
          <w:tcPr>
            <w:tcW w:w="6408" w:type="dxa"/>
          </w:tcPr>
          <w:p w14:paraId="7E978AF4" w14:textId="5BBA6182"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philosophical or religious beliefs, political opinionms, trade union membership</w:t>
            </w:r>
          </w:p>
        </w:tc>
        <w:tc>
          <w:tcPr>
            <w:tcW w:w="1620" w:type="dxa"/>
          </w:tcPr>
          <w:p w14:paraId="16BAC128" w14:textId="1D9AA789"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590E198"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BD276E" w14:paraId="73272C69" w14:textId="77777777" w:rsidTr="00A52E86">
        <w:tc>
          <w:tcPr>
            <w:tcW w:w="6408" w:type="dxa"/>
          </w:tcPr>
          <w:p w14:paraId="7E102453" w14:textId="5FB0694A"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data related to a natural person’s sex life or sexual orientation</w:t>
            </w:r>
          </w:p>
        </w:tc>
        <w:tc>
          <w:tcPr>
            <w:tcW w:w="1620" w:type="dxa"/>
          </w:tcPr>
          <w:p w14:paraId="4C4E8900" w14:textId="6CC7AC58"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7BEAA0C9" w14:textId="77777777" w:rsidR="00BD276E" w:rsidRPr="00A52E86" w:rsidRDefault="00BD276E"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A52E86" w14:paraId="6FE60DC7" w14:textId="77777777" w:rsidTr="00A52E86">
        <w:tc>
          <w:tcPr>
            <w:tcW w:w="6408" w:type="dxa"/>
          </w:tcPr>
          <w:p w14:paraId="3C9BE8B2" w14:textId="2DD0F9C1"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Genetic data</w:t>
            </w:r>
          </w:p>
        </w:tc>
        <w:tc>
          <w:tcPr>
            <w:tcW w:w="1620" w:type="dxa"/>
          </w:tcPr>
          <w:p w14:paraId="443AC31D" w14:textId="38F27306"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1D5C1032" w14:textId="450A364F"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BD276E" w14:paraId="38021B82" w14:textId="77777777" w:rsidTr="00A52E86">
        <w:tc>
          <w:tcPr>
            <w:tcW w:w="6408" w:type="dxa"/>
          </w:tcPr>
          <w:p w14:paraId="40DFBFD7" w14:textId="08B2551A" w:rsidR="00BD276E" w:rsidRPr="00A52E86" w:rsidRDefault="00BD276E"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Sensitive data – H</w:t>
            </w:r>
            <w:r w:rsidR="00A52E86" w:rsidRPr="00A52E86">
              <w:rPr>
                <w:rFonts w:ascii="Arial" w:hAnsi="Arial" w:cs="Arial"/>
                <w:b/>
                <w:bCs/>
                <w:i/>
                <w:noProof/>
                <w:sz w:val="20"/>
                <w:szCs w:val="20"/>
                <w:highlight w:val="yellow"/>
              </w:rPr>
              <w:t>eal</w:t>
            </w:r>
            <w:r w:rsidRPr="00A52E86">
              <w:rPr>
                <w:rFonts w:ascii="Arial" w:hAnsi="Arial" w:cs="Arial"/>
                <w:b/>
                <w:bCs/>
                <w:i/>
                <w:noProof/>
                <w:sz w:val="20"/>
                <w:szCs w:val="20"/>
                <w:highlight w:val="yellow"/>
              </w:rPr>
              <w:t>th data</w:t>
            </w:r>
          </w:p>
        </w:tc>
        <w:tc>
          <w:tcPr>
            <w:tcW w:w="1620" w:type="dxa"/>
          </w:tcPr>
          <w:p w14:paraId="62CF7325" w14:textId="7CF4ABAD"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4B813CB0" w14:textId="33D23C55" w:rsidR="00BD276E"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Yes</w:t>
            </w:r>
            <w:r w:rsidRPr="00A52E86">
              <w:rPr>
                <w:rFonts w:ascii="Arial" w:hAnsi="Arial" w:cs="Arial"/>
                <w:iCs/>
                <w:noProof/>
                <w:sz w:val="20"/>
                <w:szCs w:val="20"/>
                <w:highlight w:val="yellow"/>
              </w:rPr>
              <w:br/>
            </w:r>
            <w:r w:rsidRPr="00A52E86">
              <w:rPr>
                <w:rFonts w:ascii="Arial" w:hAnsi="Arial" w:cs="Arial"/>
                <w:iCs/>
                <w:noProof/>
                <w:sz w:val="16"/>
                <w:szCs w:val="16"/>
                <w:highlight w:val="yellow"/>
              </w:rPr>
              <w:t>(but pseudonymized information)</w:t>
            </w:r>
          </w:p>
        </w:tc>
      </w:tr>
      <w:tr w:rsidR="00A52E86" w14:paraId="401ACADC" w14:textId="77777777" w:rsidTr="00A52E86">
        <w:tc>
          <w:tcPr>
            <w:tcW w:w="6408" w:type="dxa"/>
          </w:tcPr>
          <w:p w14:paraId="208CE016" w14:textId="21BA64DF"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Data on criminal convictions or offenses</w:t>
            </w:r>
          </w:p>
        </w:tc>
        <w:tc>
          <w:tcPr>
            <w:tcW w:w="1620" w:type="dxa"/>
          </w:tcPr>
          <w:p w14:paraId="577D7FD6" w14:textId="516B1052"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049E1867" w14:textId="76EA8EB4"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r w:rsidR="00A52E86" w14:paraId="00FF1DB2" w14:textId="77777777" w:rsidTr="00A52E86">
        <w:tc>
          <w:tcPr>
            <w:tcW w:w="6408" w:type="dxa"/>
          </w:tcPr>
          <w:p w14:paraId="5EE5308A" w14:textId="5A6E90FF" w:rsidR="00A52E86" w:rsidRPr="00A52E86" w:rsidRDefault="00A52E86" w:rsidP="00FE4B91">
            <w:pPr>
              <w:spacing w:before="120" w:after="120"/>
              <w:jc w:val="both"/>
              <w:rPr>
                <w:rFonts w:ascii="Arial" w:hAnsi="Arial" w:cs="Arial"/>
                <w:b/>
                <w:bCs/>
                <w:i/>
                <w:noProof/>
                <w:sz w:val="20"/>
                <w:szCs w:val="20"/>
                <w:highlight w:val="yellow"/>
              </w:rPr>
            </w:pPr>
            <w:r w:rsidRPr="00A52E86">
              <w:rPr>
                <w:rFonts w:ascii="Arial" w:hAnsi="Arial" w:cs="Arial"/>
                <w:b/>
                <w:bCs/>
                <w:i/>
                <w:noProof/>
                <w:sz w:val="20"/>
                <w:szCs w:val="20"/>
                <w:highlight w:val="yellow"/>
              </w:rPr>
              <w:t>Unique national idenfifier Number</w:t>
            </w:r>
          </w:p>
        </w:tc>
        <w:tc>
          <w:tcPr>
            <w:tcW w:w="1620" w:type="dxa"/>
          </w:tcPr>
          <w:p w14:paraId="1983F713" w14:textId="135DF907"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c>
          <w:tcPr>
            <w:tcW w:w="2628" w:type="dxa"/>
          </w:tcPr>
          <w:p w14:paraId="76AA5EAE" w14:textId="1F718E52" w:rsidR="00A52E86" w:rsidRPr="00A52E86" w:rsidRDefault="00A52E86" w:rsidP="00FE4B91">
            <w:pPr>
              <w:spacing w:before="120" w:after="120"/>
              <w:jc w:val="center"/>
              <w:rPr>
                <w:rFonts w:ascii="Arial" w:hAnsi="Arial" w:cs="Arial"/>
                <w:iCs/>
                <w:noProof/>
                <w:sz w:val="20"/>
                <w:szCs w:val="20"/>
                <w:highlight w:val="yellow"/>
              </w:rPr>
            </w:pPr>
            <w:r w:rsidRPr="00A52E86">
              <w:rPr>
                <w:rFonts w:ascii="Arial" w:hAnsi="Arial" w:cs="Arial"/>
                <w:iCs/>
                <w:noProof/>
                <w:sz w:val="20"/>
                <w:szCs w:val="20"/>
                <w:highlight w:val="yellow"/>
              </w:rPr>
              <w:t>No</w:t>
            </w:r>
          </w:p>
        </w:tc>
      </w:tr>
    </w:tbl>
    <w:p w14:paraId="04B7A24B" w14:textId="77777777" w:rsidR="009C72E0" w:rsidRPr="00262553" w:rsidRDefault="009C72E0" w:rsidP="009C72E0">
      <w:pPr>
        <w:spacing w:before="120" w:after="120"/>
        <w:jc w:val="both"/>
        <w:rPr>
          <w:i/>
        </w:rPr>
      </w:pPr>
      <w:r w:rsidRPr="00262553">
        <w:rPr>
          <w:i/>
        </w:rPr>
        <w:t>The frequency of the transfer (</w:t>
      </w:r>
      <w:proofErr w:type="gramStart"/>
      <w:r w:rsidRPr="00262553">
        <w:rPr>
          <w:i/>
        </w:rPr>
        <w:t>e.g.</w:t>
      </w:r>
      <w:proofErr w:type="gramEnd"/>
      <w:r w:rsidRPr="00262553">
        <w:rPr>
          <w:i/>
        </w:rPr>
        <w:t xml:space="preserve"> whether the data is transferred on a one-off or continuous basis).</w:t>
      </w:r>
    </w:p>
    <w:p w14:paraId="13D9C302" w14:textId="1F1C04F5" w:rsidR="009C72E0" w:rsidRPr="009F2D2B" w:rsidRDefault="00A52E86" w:rsidP="009C72E0">
      <w:pPr>
        <w:spacing w:before="120" w:after="120"/>
        <w:jc w:val="both"/>
        <w:rPr>
          <w:iCs/>
          <w:noProof/>
          <w:szCs w:val="20"/>
        </w:rPr>
      </w:pPr>
      <w:r w:rsidRPr="009F2D2B">
        <w:rPr>
          <w:iCs/>
          <w:noProof/>
          <w:szCs w:val="20"/>
          <w:highlight w:val="yellow"/>
        </w:rPr>
        <w:t>Transfer between the Customer and the DNAnexus Platf</w:t>
      </w:r>
      <w:r w:rsidR="00107469" w:rsidRPr="009F2D2B">
        <w:rPr>
          <w:iCs/>
          <w:noProof/>
          <w:szCs w:val="20"/>
          <w:highlight w:val="yellow"/>
        </w:rPr>
        <w:t>o</w:t>
      </w:r>
      <w:r w:rsidRPr="009F2D2B">
        <w:rPr>
          <w:iCs/>
          <w:noProof/>
          <w:szCs w:val="20"/>
          <w:highlight w:val="yellow"/>
        </w:rPr>
        <w:t>rm wil be done as needed.</w:t>
      </w:r>
    </w:p>
    <w:p w14:paraId="241ADA34" w14:textId="1D743308" w:rsidR="009C72E0" w:rsidRPr="00262553" w:rsidRDefault="009C72E0" w:rsidP="00262553">
      <w:pPr>
        <w:keepNext/>
        <w:keepLines/>
        <w:widowControl/>
        <w:spacing w:before="120" w:after="120"/>
        <w:jc w:val="both"/>
        <w:rPr>
          <w:sz w:val="24"/>
        </w:rPr>
      </w:pPr>
      <w:r w:rsidRPr="00262553">
        <w:rPr>
          <w:sz w:val="24"/>
        </w:rPr>
        <w:t>Nature of the processing</w:t>
      </w:r>
    </w:p>
    <w:p w14:paraId="0387520E" w14:textId="1BC40DD6" w:rsidR="00B42242" w:rsidRPr="00262553" w:rsidRDefault="00B42242" w:rsidP="00262553">
      <w:pPr>
        <w:keepNext/>
        <w:keepLines/>
        <w:widowControl/>
        <w:rPr>
          <w:spacing w:val="-2"/>
        </w:rPr>
      </w:pPr>
      <w:r w:rsidRPr="00CF2612">
        <w:rPr>
          <w:noProof/>
          <w:spacing w:val="-2"/>
        </w:rPr>
        <w:t xml:space="preserve">The </w:t>
      </w:r>
      <w:r>
        <w:rPr>
          <w:noProof/>
          <w:spacing w:val="-2"/>
        </w:rPr>
        <w:t>Customer Persona</w:t>
      </w:r>
      <w:r w:rsidRPr="00CF2612">
        <w:rPr>
          <w:noProof/>
          <w:spacing w:val="-2"/>
        </w:rPr>
        <w:t xml:space="preserve">l </w:t>
      </w:r>
      <w:r w:rsidRPr="00262553">
        <w:rPr>
          <w:spacing w:val="-2"/>
        </w:rPr>
        <w:t xml:space="preserve">data </w:t>
      </w:r>
      <w:r w:rsidRPr="00CF2612">
        <w:rPr>
          <w:noProof/>
          <w:spacing w:val="-2"/>
        </w:rPr>
        <w:t>transferred will be subject to the following basic</w:t>
      </w:r>
      <w:r w:rsidRPr="00262553">
        <w:rPr>
          <w:spacing w:val="-2"/>
        </w:rPr>
        <w:t xml:space="preserve"> processing</w:t>
      </w:r>
      <w:r w:rsidRPr="00CF2612">
        <w:rPr>
          <w:noProof/>
          <w:spacing w:val="-2"/>
        </w:rPr>
        <w:t xml:space="preserve"> activities</w:t>
      </w:r>
      <w:r>
        <w:rPr>
          <w:noProof/>
          <w:spacing w:val="-2"/>
        </w:rPr>
        <w:t>:</w:t>
      </w:r>
    </w:p>
    <w:p w14:paraId="42BE5CAC" w14:textId="77777777" w:rsidR="00B42242" w:rsidRPr="00374669" w:rsidRDefault="00B42242" w:rsidP="00B27570">
      <w:pPr>
        <w:pStyle w:val="BodyText"/>
        <w:keepNext/>
        <w:keepLines/>
        <w:widowControl/>
        <w:numPr>
          <w:ilvl w:val="2"/>
          <w:numId w:val="40"/>
        </w:numPr>
      </w:pPr>
      <w:r w:rsidRPr="00374669">
        <w:rPr>
          <w:u w:val="single"/>
        </w:rPr>
        <w:t>Frequency and duration</w:t>
      </w:r>
      <w:r w:rsidRPr="00374669">
        <w:t xml:space="preserve">: Notwithstanding expiry or termination of the Agreement, </w:t>
      </w:r>
      <w:r>
        <w:t>DNAnexus shall</w:t>
      </w:r>
      <w:r w:rsidRPr="00374669">
        <w:t xml:space="preserve"> Process the Customer Personal Data continuously and until deletion of all Customer Personal Data as described in this DPA.</w:t>
      </w:r>
    </w:p>
    <w:p w14:paraId="50B61E90" w14:textId="77777777" w:rsidR="00B27570" w:rsidRPr="00374669" w:rsidRDefault="00B42242" w:rsidP="00B27570">
      <w:pPr>
        <w:pStyle w:val="BodyText"/>
        <w:numPr>
          <w:ilvl w:val="2"/>
          <w:numId w:val="40"/>
        </w:numPr>
      </w:pPr>
      <w:r w:rsidRPr="00374669">
        <w:rPr>
          <w:u w:val="single"/>
        </w:rPr>
        <w:t>Purpose</w:t>
      </w:r>
      <w:r w:rsidRPr="00374669">
        <w:t xml:space="preserve">: </w:t>
      </w:r>
      <w:r w:rsidR="00B27570">
        <w:t>DNAnexus shall</w:t>
      </w:r>
      <w:r w:rsidR="00B27570" w:rsidRPr="00374669">
        <w:t xml:space="preserve"> Process the Customer Personal Data for the Purposes, as described in this DPA.</w:t>
      </w:r>
    </w:p>
    <w:p w14:paraId="3D1CB705" w14:textId="77777777" w:rsidR="00B42242" w:rsidRPr="00374669" w:rsidRDefault="00B42242" w:rsidP="00B42242">
      <w:pPr>
        <w:pStyle w:val="BodyText"/>
        <w:numPr>
          <w:ilvl w:val="2"/>
          <w:numId w:val="40"/>
        </w:numPr>
      </w:pPr>
      <w:r w:rsidRPr="00374669">
        <w:rPr>
          <w:u w:val="single"/>
        </w:rPr>
        <w:t>Nature of the Processing</w:t>
      </w:r>
      <w:r w:rsidRPr="00374669">
        <w:t xml:space="preserve">: </w:t>
      </w:r>
      <w:r>
        <w:t>DNAnexus shall</w:t>
      </w:r>
      <w:r w:rsidRPr="00374669">
        <w:t xml:space="preserve"> perform Processing as needed for the Purposes, and to comply with the Customer’s Processing instructions as provided in accordance with the Agreement and this DPA.</w:t>
      </w:r>
    </w:p>
    <w:p w14:paraId="7D726137" w14:textId="1B03D356" w:rsidR="00B42242" w:rsidRPr="00374669" w:rsidRDefault="00B42242" w:rsidP="00B27570">
      <w:pPr>
        <w:spacing w:before="120" w:after="120"/>
        <w:jc w:val="both"/>
      </w:pPr>
      <w:r>
        <w:rPr>
          <w:iCs/>
          <w:noProof/>
          <w:sz w:val="24"/>
        </w:rPr>
        <w:t>Retention of Data</w:t>
      </w:r>
      <w:r w:rsidR="00B27570">
        <w:rPr>
          <w:iCs/>
          <w:noProof/>
          <w:sz w:val="24"/>
        </w:rPr>
        <w:br/>
      </w:r>
      <w:r w:rsidRPr="00374669">
        <w:t>The period for which Customer Personal Data will be retained and the criteria used to determine that period shall be determined by the Customer during the term of the Agreement via its used and configuration of the Service. Upon termination or expiration of the Agreement, Customer may retrieve or delete all Customer Personal Data as set forth in</w:t>
      </w:r>
      <w:r>
        <w:t xml:space="preserve"> Section 8 of</w:t>
      </w:r>
      <w:r w:rsidRPr="00374669">
        <w:t xml:space="preserve"> this Agreement. Any Customer Personal Data not deleted by the Customer shall be deleted by DNAnexus in accordance with DNAnexus’ procedures as triggered by the later of (</w:t>
      </w:r>
      <w:proofErr w:type="spellStart"/>
      <w:r w:rsidRPr="00374669">
        <w:t>i</w:t>
      </w:r>
      <w:proofErr w:type="spellEnd"/>
      <w:r w:rsidRPr="00374669">
        <w:t>) expiration or termination of the Agreement and (ii) expiration of any post-termination “grace period” set forth in the Agreement.</w:t>
      </w:r>
    </w:p>
    <w:p w14:paraId="7A8E5280" w14:textId="77777777" w:rsidR="009C72E0" w:rsidRPr="00262553" w:rsidRDefault="009C72E0" w:rsidP="009C72E0">
      <w:pPr>
        <w:spacing w:before="120" w:after="120"/>
        <w:jc w:val="both"/>
        <w:rPr>
          <w:i/>
        </w:rPr>
      </w:pPr>
      <w:r w:rsidRPr="00262553">
        <w:rPr>
          <w:i/>
        </w:rPr>
        <w:lastRenderedPageBreak/>
        <w:t>For transfers to (sub-) processors, also specify subject matter, nature and duration of the processing</w:t>
      </w:r>
    </w:p>
    <w:p w14:paraId="40FFE599" w14:textId="3ECD155C" w:rsidR="009C72E0" w:rsidRPr="009F2D2B" w:rsidRDefault="00960A90" w:rsidP="009C72E0">
      <w:pPr>
        <w:spacing w:before="120" w:after="120"/>
        <w:jc w:val="both"/>
        <w:rPr>
          <w:i/>
          <w:noProof/>
          <w:szCs w:val="20"/>
        </w:rPr>
      </w:pPr>
      <w:r w:rsidRPr="009F2D2B">
        <w:rPr>
          <w:i/>
          <w:noProof/>
          <w:szCs w:val="20"/>
          <w:highlight w:val="yellow"/>
        </w:rPr>
        <w:t>&lt;Customer lists their subprocessors&gt;</w:t>
      </w:r>
    </w:p>
    <w:p w14:paraId="5CB92D7B" w14:textId="039529F8" w:rsidR="00960A90" w:rsidRDefault="00960A90" w:rsidP="00960A90">
      <w:pPr>
        <w:numPr>
          <w:ilvl w:val="0"/>
          <w:numId w:val="45"/>
        </w:numPr>
        <w:spacing w:before="120" w:after="120"/>
        <w:jc w:val="both"/>
        <w:rPr>
          <w:i/>
          <w:noProof/>
          <w:sz w:val="24"/>
        </w:rPr>
      </w:pPr>
      <w:r>
        <w:rPr>
          <w:iCs/>
          <w:noProof/>
          <w:sz w:val="24"/>
        </w:rPr>
        <w:t>DNAnexus’ subprocessors are described in Annex III of this document.</w:t>
      </w:r>
    </w:p>
    <w:p w14:paraId="13943C16" w14:textId="04B2032C" w:rsidR="009C72E0" w:rsidRDefault="009C72E0" w:rsidP="009C72E0">
      <w:pPr>
        <w:rPr>
          <w:b/>
          <w:noProof/>
          <w:sz w:val="24"/>
        </w:rPr>
      </w:pPr>
    </w:p>
    <w:p w14:paraId="38D1D369" w14:textId="77777777" w:rsidR="009C72E0" w:rsidRDefault="009C72E0" w:rsidP="009C72E0">
      <w:pPr>
        <w:spacing w:before="120" w:after="120"/>
        <w:ind w:left="850"/>
        <w:jc w:val="both"/>
        <w:rPr>
          <w:b/>
          <w:noProof/>
          <w:sz w:val="24"/>
        </w:rPr>
      </w:pPr>
      <w:r>
        <w:rPr>
          <w:b/>
          <w:noProof/>
          <w:sz w:val="24"/>
        </w:rPr>
        <w:t>C. COMPETENT SUPERVISORY AUTHORITY</w:t>
      </w:r>
    </w:p>
    <w:p w14:paraId="7990F755" w14:textId="77777777" w:rsidR="009C72E0" w:rsidRPr="00262553" w:rsidRDefault="009C72E0" w:rsidP="009C72E0">
      <w:pPr>
        <w:spacing w:before="120" w:after="120"/>
        <w:jc w:val="both"/>
        <w:rPr>
          <w:i/>
        </w:rPr>
      </w:pPr>
      <w:r w:rsidRPr="00262553">
        <w:rPr>
          <w:i/>
        </w:rPr>
        <w:t>Identify the competent supervisory authority/</w:t>
      </w:r>
      <w:proofErr w:type="spellStart"/>
      <w:r w:rsidRPr="00262553">
        <w:rPr>
          <w:i/>
        </w:rPr>
        <w:t>ies</w:t>
      </w:r>
      <w:proofErr w:type="spellEnd"/>
      <w:r w:rsidRPr="00262553">
        <w:rPr>
          <w:i/>
        </w:rPr>
        <w:t xml:space="preserve"> in accordance with Clause 13</w:t>
      </w:r>
    </w:p>
    <w:p w14:paraId="496D8019" w14:textId="04697197" w:rsidR="009C72E0" w:rsidRDefault="009C72E0" w:rsidP="009C72E0">
      <w:pPr>
        <w:spacing w:before="120" w:after="120"/>
        <w:jc w:val="both"/>
        <w:rPr>
          <w:b/>
          <w:i/>
          <w:noProof/>
          <w:sz w:val="32"/>
          <w:szCs w:val="32"/>
          <w:u w:val="single"/>
        </w:rPr>
      </w:pPr>
      <w:r w:rsidRPr="00262553">
        <w:rPr>
          <w:i/>
          <w:sz w:val="24"/>
          <w:highlight w:val="yellow"/>
        </w:rPr>
        <w:t>………………………….</w:t>
      </w:r>
    </w:p>
    <w:p w14:paraId="08D8219E" w14:textId="77777777" w:rsidR="009C72E0" w:rsidRDefault="009C72E0" w:rsidP="002A1DDD">
      <w:pPr>
        <w:pStyle w:val="Heading2"/>
        <w:rPr>
          <w:noProof/>
        </w:rPr>
      </w:pPr>
      <w:r>
        <w:rPr>
          <w:noProof/>
        </w:rPr>
        <w:t>ANNEX II - TECHNICAL AND ORGANISATIONAL MEASURES INCLUDING TECHNICAL AND ORGANISATIONAL MEASURES TO ENSURE THE SECURITY OF THE DATA</w:t>
      </w:r>
    </w:p>
    <w:p w14:paraId="67186EB4" w14:textId="0622389B" w:rsidR="00953CC3" w:rsidRPr="00262553" w:rsidRDefault="00846C34" w:rsidP="009C72E0">
      <w:pPr>
        <w:spacing w:before="120" w:after="120"/>
        <w:contextualSpacing/>
        <w:jc w:val="both"/>
      </w:pPr>
      <w:bookmarkStart w:id="4" w:name="_Hlk97639977"/>
      <w:r w:rsidRPr="00262553">
        <w:t xml:space="preserve">DNAnexus implies multiple security and privacy controls based on principles of “zero trust”, “least </w:t>
      </w:r>
      <w:r w:rsidR="00262553" w:rsidRPr="00262553">
        <w:t>privilege</w:t>
      </w:r>
      <w:r w:rsidRPr="00262553">
        <w:t xml:space="preserve">” and continuous monitoring. DNAnexus complies and is audited by third parties for ISO 27001 and has the “Moderate” category of an Authorization to Operate (ATO) under </w:t>
      </w:r>
      <w:proofErr w:type="gramStart"/>
      <w:r w:rsidRPr="00262553">
        <w:t>the  U.S.</w:t>
      </w:r>
      <w:proofErr w:type="gramEnd"/>
      <w:r w:rsidRPr="00262553">
        <w:t xml:space="preserve"> FedRAMP program. DNAnexus’ FedRAMP authorization is under the sponsorship of the U.S. Department of Health &amp; Human Service (“HHS”), requiring annual audits, continuous monitoring and monthly reporting to HHS. </w:t>
      </w:r>
      <w:proofErr w:type="gramStart"/>
      <w:r w:rsidRPr="00262553">
        <w:t>FedRAMP  is</w:t>
      </w:r>
      <w:proofErr w:type="gramEnd"/>
      <w:r w:rsidRPr="00262553">
        <w:t xml:space="preserve"> largely based around the U.S. NIST 800-family of controls. </w:t>
      </w:r>
    </w:p>
    <w:p w14:paraId="2F5BD67E" w14:textId="77777777" w:rsidR="00953CC3" w:rsidRPr="00262553" w:rsidRDefault="00953CC3" w:rsidP="009C72E0">
      <w:pPr>
        <w:spacing w:before="120" w:after="120"/>
        <w:contextualSpacing/>
        <w:jc w:val="both"/>
      </w:pPr>
    </w:p>
    <w:p w14:paraId="71407736" w14:textId="406CA175" w:rsidR="00953CC3" w:rsidRPr="00262553" w:rsidRDefault="00953CC3" w:rsidP="009C72E0">
      <w:pPr>
        <w:spacing w:before="120" w:after="120"/>
        <w:contextualSpacing/>
        <w:jc w:val="both"/>
      </w:pPr>
      <w:r w:rsidRPr="00262553">
        <w:t>With respect to Confidentiality, Integrity and Availability, the sensitivity categorization of information types 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309"/>
        <w:gridCol w:w="2307"/>
        <w:gridCol w:w="1604"/>
        <w:gridCol w:w="1606"/>
        <w:gridCol w:w="1604"/>
      </w:tblGrid>
      <w:tr w:rsidR="00FE4B91" w:rsidRPr="00607BCD" w14:paraId="43557EF1" w14:textId="77777777" w:rsidTr="007407EA">
        <w:trPr>
          <w:cantSplit/>
          <w:trHeight w:val="403"/>
          <w:tblHeader/>
          <w:jc w:val="center"/>
        </w:trPr>
        <w:tc>
          <w:tcPr>
            <w:tcW w:w="1586" w:type="pct"/>
            <w:shd w:val="clear" w:color="auto" w:fill="FFF2CC" w:themeFill="accent4" w:themeFillTint="33"/>
            <w:tcMar>
              <w:top w:w="43" w:type="dxa"/>
              <w:left w:w="101" w:type="dxa"/>
              <w:bottom w:w="72" w:type="dxa"/>
              <w:right w:w="101" w:type="dxa"/>
            </w:tcMar>
          </w:tcPr>
          <w:p w14:paraId="512A51D8" w14:textId="77777777" w:rsidR="00953CC3" w:rsidRPr="00607BCD" w:rsidRDefault="00953CC3" w:rsidP="004E4CD8">
            <w:pPr>
              <w:pStyle w:val="GSATableHeading"/>
            </w:pPr>
            <w:r w:rsidRPr="00607BCD">
              <w:t xml:space="preserve">Information Type </w:t>
            </w:r>
          </w:p>
          <w:p w14:paraId="5F92B5CA" w14:textId="77777777" w:rsidR="00953CC3" w:rsidRDefault="00953CC3" w:rsidP="004E4CD8">
            <w:pPr>
              <w:pStyle w:val="GSATableHeading"/>
            </w:pPr>
            <w:r w:rsidRPr="00607BCD">
              <w:t xml:space="preserve">(Use only information types from NIST SP 800-60, Volumes I and II </w:t>
            </w:r>
          </w:p>
          <w:p w14:paraId="1A54FCEC" w14:textId="77777777" w:rsidR="00953CC3" w:rsidRPr="00607BCD" w:rsidRDefault="00953CC3" w:rsidP="004E4CD8">
            <w:pPr>
              <w:pStyle w:val="GSATableHeading"/>
            </w:pPr>
            <w:r w:rsidRPr="00607BCD">
              <w:t xml:space="preserve">as amended) </w:t>
            </w:r>
          </w:p>
        </w:tc>
        <w:tc>
          <w:tcPr>
            <w:tcW w:w="1106" w:type="pct"/>
            <w:shd w:val="clear" w:color="auto" w:fill="FFF2CC" w:themeFill="accent4" w:themeFillTint="33"/>
          </w:tcPr>
          <w:p w14:paraId="4977AAD9" w14:textId="77777777" w:rsidR="00953CC3" w:rsidRPr="00607BCD" w:rsidRDefault="00953CC3" w:rsidP="004E4CD8">
            <w:pPr>
              <w:pStyle w:val="GSATableHeading"/>
            </w:pPr>
            <w:r w:rsidRPr="00607BCD">
              <w:t>NIST 800-60 identifier for Associated Information Type</w:t>
            </w:r>
          </w:p>
        </w:tc>
        <w:tc>
          <w:tcPr>
            <w:tcW w:w="769" w:type="pct"/>
            <w:shd w:val="clear" w:color="auto" w:fill="FFF2CC" w:themeFill="accent4" w:themeFillTint="33"/>
            <w:tcMar>
              <w:top w:w="43" w:type="dxa"/>
              <w:left w:w="101" w:type="dxa"/>
              <w:bottom w:w="72" w:type="dxa"/>
              <w:right w:w="101" w:type="dxa"/>
            </w:tcMar>
          </w:tcPr>
          <w:p w14:paraId="0EE21AC1" w14:textId="77777777" w:rsidR="00953CC3" w:rsidRPr="00607BCD" w:rsidRDefault="00953CC3" w:rsidP="004E4CD8">
            <w:pPr>
              <w:pStyle w:val="GSATableHeading"/>
            </w:pPr>
            <w:r w:rsidRPr="00607BCD">
              <w:t>Confidentiality</w:t>
            </w:r>
          </w:p>
        </w:tc>
        <w:tc>
          <w:tcPr>
            <w:tcW w:w="770" w:type="pct"/>
            <w:shd w:val="clear" w:color="auto" w:fill="FFF2CC" w:themeFill="accent4" w:themeFillTint="33"/>
            <w:tcMar>
              <w:top w:w="43" w:type="dxa"/>
              <w:bottom w:w="72" w:type="dxa"/>
            </w:tcMar>
          </w:tcPr>
          <w:p w14:paraId="13292260" w14:textId="77777777" w:rsidR="00953CC3" w:rsidRPr="00607BCD" w:rsidRDefault="00953CC3" w:rsidP="004E4CD8">
            <w:pPr>
              <w:pStyle w:val="GSATableHeading"/>
            </w:pPr>
            <w:r w:rsidRPr="00607BCD">
              <w:t>Integrity</w:t>
            </w:r>
          </w:p>
        </w:tc>
        <w:tc>
          <w:tcPr>
            <w:tcW w:w="769" w:type="pct"/>
            <w:shd w:val="clear" w:color="auto" w:fill="FFF2CC" w:themeFill="accent4" w:themeFillTint="33"/>
            <w:tcMar>
              <w:top w:w="43" w:type="dxa"/>
              <w:bottom w:w="72" w:type="dxa"/>
            </w:tcMar>
          </w:tcPr>
          <w:p w14:paraId="2C18828F" w14:textId="77777777" w:rsidR="00953CC3" w:rsidRPr="00607BCD" w:rsidRDefault="00953CC3" w:rsidP="004E4CD8">
            <w:pPr>
              <w:pStyle w:val="GSATableHeading"/>
            </w:pPr>
            <w:r w:rsidRPr="00607BCD">
              <w:t>Availability</w:t>
            </w:r>
          </w:p>
        </w:tc>
      </w:tr>
      <w:tr w:rsidR="00953CC3" w:rsidRPr="00C15D16" w14:paraId="597E4F1A" w14:textId="77777777" w:rsidTr="002A1DDD">
        <w:trPr>
          <w:cantSplit/>
          <w:trHeight w:hRule="exact" w:val="542"/>
          <w:tblHeader/>
          <w:jc w:val="center"/>
        </w:trPr>
        <w:tc>
          <w:tcPr>
            <w:tcW w:w="1586" w:type="pct"/>
            <w:tcMar>
              <w:top w:w="43" w:type="dxa"/>
              <w:left w:w="101" w:type="dxa"/>
              <w:bottom w:w="72" w:type="dxa"/>
              <w:right w:w="101" w:type="dxa"/>
            </w:tcMar>
          </w:tcPr>
          <w:p w14:paraId="41F3B8F8" w14:textId="77777777" w:rsidR="00953CC3" w:rsidRPr="00C15D16" w:rsidRDefault="00953CC3" w:rsidP="004E4CD8">
            <w:pPr>
              <w:pStyle w:val="GSATableText"/>
            </w:pPr>
            <w:r>
              <w:t>Research and Development</w:t>
            </w:r>
          </w:p>
        </w:tc>
        <w:tc>
          <w:tcPr>
            <w:tcW w:w="1106" w:type="pct"/>
          </w:tcPr>
          <w:p w14:paraId="3E0BDEA1" w14:textId="77777777" w:rsidR="00953CC3" w:rsidRPr="00C15D16" w:rsidRDefault="00953CC3" w:rsidP="004E4CD8">
            <w:pPr>
              <w:pStyle w:val="GSATableText"/>
            </w:pPr>
            <w:r>
              <w:t>D.20.1</w:t>
            </w:r>
          </w:p>
        </w:tc>
        <w:tc>
          <w:tcPr>
            <w:tcW w:w="769" w:type="pct"/>
            <w:tcMar>
              <w:top w:w="43" w:type="dxa"/>
              <w:left w:w="101" w:type="dxa"/>
              <w:bottom w:w="72" w:type="dxa"/>
              <w:right w:w="101" w:type="dxa"/>
            </w:tcMar>
          </w:tcPr>
          <w:p w14:paraId="6868ACD7" w14:textId="77777777" w:rsidR="00953CC3" w:rsidRPr="00C15D16" w:rsidRDefault="00953CC3" w:rsidP="004E4CD8">
            <w:pPr>
              <w:pStyle w:val="GSATableText"/>
            </w:pPr>
            <w:r>
              <w:t>Moderate (M)</w:t>
            </w:r>
          </w:p>
        </w:tc>
        <w:tc>
          <w:tcPr>
            <w:tcW w:w="770" w:type="pct"/>
            <w:tcMar>
              <w:top w:w="43" w:type="dxa"/>
              <w:bottom w:w="72" w:type="dxa"/>
            </w:tcMar>
          </w:tcPr>
          <w:p w14:paraId="12BB9298" w14:textId="77777777" w:rsidR="00953CC3" w:rsidRPr="00C15D16" w:rsidRDefault="00953CC3" w:rsidP="004E4CD8">
            <w:pPr>
              <w:pStyle w:val="GSATableText"/>
            </w:pPr>
            <w:r>
              <w:t>Moderate (M)</w:t>
            </w:r>
          </w:p>
        </w:tc>
        <w:tc>
          <w:tcPr>
            <w:tcW w:w="769" w:type="pct"/>
            <w:tcMar>
              <w:top w:w="43" w:type="dxa"/>
              <w:bottom w:w="72" w:type="dxa"/>
            </w:tcMar>
          </w:tcPr>
          <w:p w14:paraId="40F38691" w14:textId="77777777" w:rsidR="00953CC3" w:rsidRPr="00C15D16" w:rsidRDefault="00953CC3" w:rsidP="004E4CD8">
            <w:pPr>
              <w:pStyle w:val="GSATableText"/>
            </w:pPr>
            <w:r>
              <w:t>Low (L)</w:t>
            </w:r>
          </w:p>
        </w:tc>
      </w:tr>
      <w:tr w:rsidR="00953CC3" w:rsidRPr="00C15D16" w14:paraId="0364E117" w14:textId="77777777" w:rsidTr="00262553">
        <w:trPr>
          <w:cantSplit/>
          <w:trHeight w:hRule="exact" w:val="632"/>
          <w:tblHeader/>
          <w:jc w:val="center"/>
        </w:trPr>
        <w:tc>
          <w:tcPr>
            <w:tcW w:w="1586" w:type="pct"/>
            <w:tcMar>
              <w:top w:w="43" w:type="dxa"/>
              <w:left w:w="101" w:type="dxa"/>
              <w:bottom w:w="72" w:type="dxa"/>
              <w:right w:w="101" w:type="dxa"/>
            </w:tcMar>
          </w:tcPr>
          <w:p w14:paraId="5DAD7DE6" w14:textId="77777777" w:rsidR="00953CC3" w:rsidRPr="00C15D16" w:rsidRDefault="00953CC3" w:rsidP="004E4CD8">
            <w:pPr>
              <w:pStyle w:val="GSATableText"/>
            </w:pPr>
            <w:r>
              <w:t xml:space="preserve">Health Care Research and </w:t>
            </w:r>
            <w:r w:rsidR="00D70076">
              <w:t>Practitioner</w:t>
            </w:r>
            <w:r>
              <w:t xml:space="preserve"> Education</w:t>
            </w:r>
          </w:p>
        </w:tc>
        <w:tc>
          <w:tcPr>
            <w:tcW w:w="1106" w:type="pct"/>
          </w:tcPr>
          <w:p w14:paraId="63C3B825" w14:textId="77777777" w:rsidR="00953CC3" w:rsidRPr="00C15D16" w:rsidRDefault="00953CC3" w:rsidP="004E4CD8">
            <w:pPr>
              <w:pStyle w:val="GSATableText"/>
            </w:pPr>
            <w:r>
              <w:t>D.14.5</w:t>
            </w:r>
          </w:p>
        </w:tc>
        <w:tc>
          <w:tcPr>
            <w:tcW w:w="769" w:type="pct"/>
            <w:tcMar>
              <w:top w:w="43" w:type="dxa"/>
              <w:left w:w="101" w:type="dxa"/>
              <w:bottom w:w="72" w:type="dxa"/>
              <w:right w:w="101" w:type="dxa"/>
            </w:tcMar>
          </w:tcPr>
          <w:p w14:paraId="667C4A3E" w14:textId="77777777" w:rsidR="00953CC3" w:rsidRPr="00C15D16" w:rsidRDefault="00953CC3" w:rsidP="004E4CD8">
            <w:pPr>
              <w:pStyle w:val="GSATableText"/>
            </w:pPr>
            <w:r>
              <w:t>Moderate (M)</w:t>
            </w:r>
          </w:p>
        </w:tc>
        <w:tc>
          <w:tcPr>
            <w:tcW w:w="770" w:type="pct"/>
            <w:tcMar>
              <w:top w:w="43" w:type="dxa"/>
              <w:bottom w:w="72" w:type="dxa"/>
            </w:tcMar>
          </w:tcPr>
          <w:p w14:paraId="49390E74" w14:textId="77777777" w:rsidR="00953CC3" w:rsidRPr="00C15D16" w:rsidRDefault="00953CC3" w:rsidP="004E4CD8">
            <w:pPr>
              <w:pStyle w:val="GSATableText"/>
            </w:pPr>
            <w:r>
              <w:t>Moderate (M)</w:t>
            </w:r>
          </w:p>
        </w:tc>
        <w:tc>
          <w:tcPr>
            <w:tcW w:w="769" w:type="pct"/>
            <w:tcMar>
              <w:top w:w="43" w:type="dxa"/>
              <w:bottom w:w="72" w:type="dxa"/>
            </w:tcMar>
          </w:tcPr>
          <w:p w14:paraId="2CEC617E" w14:textId="77777777" w:rsidR="00953CC3" w:rsidRPr="00C15D16" w:rsidRDefault="00953CC3" w:rsidP="004E4CD8">
            <w:pPr>
              <w:pStyle w:val="GSATableText"/>
            </w:pPr>
            <w:r>
              <w:t>Low (L)</w:t>
            </w:r>
          </w:p>
        </w:tc>
      </w:tr>
    </w:tbl>
    <w:p w14:paraId="501BD951" w14:textId="77777777" w:rsidR="00846C34" w:rsidRPr="00262553" w:rsidRDefault="00B653EF" w:rsidP="009C72E0">
      <w:pPr>
        <w:spacing w:before="120" w:after="120"/>
        <w:contextualSpacing/>
        <w:jc w:val="both"/>
      </w:pPr>
      <w:r w:rsidRPr="00262553">
        <w:t>Based on these categories, DNAnexus’ controls are set to the mitigate the risks aligned with the following Security Impact Level: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52"/>
        <w:gridCol w:w="7578"/>
      </w:tblGrid>
      <w:tr w:rsidR="00B653EF" w:rsidRPr="00E03A24" w14:paraId="7EA24801" w14:textId="77777777" w:rsidTr="00262553">
        <w:trPr>
          <w:cantSplit/>
          <w:trHeight w:val="20"/>
          <w:tblHeader/>
          <w:jc w:val="center"/>
        </w:trPr>
        <w:tc>
          <w:tcPr>
            <w:tcW w:w="1367" w:type="pct"/>
            <w:tcBorders>
              <w:bottom w:val="single" w:sz="4" w:space="0" w:color="auto"/>
            </w:tcBorders>
            <w:shd w:val="clear" w:color="auto" w:fill="FFF2CC" w:themeFill="accent4" w:themeFillTint="33"/>
            <w:tcMar>
              <w:top w:w="0" w:type="dxa"/>
              <w:left w:w="101" w:type="dxa"/>
              <w:bottom w:w="115" w:type="dxa"/>
              <w:right w:w="101" w:type="dxa"/>
            </w:tcMar>
            <w:vAlign w:val="center"/>
          </w:tcPr>
          <w:p w14:paraId="576CC779" w14:textId="77777777" w:rsidR="00B653EF" w:rsidRPr="00E03A24" w:rsidRDefault="00B653EF" w:rsidP="004E4CD8">
            <w:pPr>
              <w:pStyle w:val="GSATableHeading"/>
            </w:pPr>
            <w:r w:rsidRPr="00E03A24">
              <w:t>Security Objective</w:t>
            </w:r>
          </w:p>
        </w:tc>
        <w:tc>
          <w:tcPr>
            <w:tcW w:w="3633" w:type="pct"/>
            <w:shd w:val="clear" w:color="auto" w:fill="FFF2CC" w:themeFill="accent4" w:themeFillTint="33"/>
            <w:tcMar>
              <w:top w:w="0" w:type="dxa"/>
              <w:left w:w="101" w:type="dxa"/>
              <w:bottom w:w="115" w:type="dxa"/>
              <w:right w:w="101" w:type="dxa"/>
            </w:tcMar>
            <w:vAlign w:val="center"/>
          </w:tcPr>
          <w:p w14:paraId="032D5F00" w14:textId="77777777" w:rsidR="00B653EF" w:rsidRPr="00E03A24" w:rsidRDefault="00B653EF" w:rsidP="004E4CD8">
            <w:pPr>
              <w:pStyle w:val="GSATableHeading"/>
            </w:pPr>
            <w:r w:rsidRPr="00E03A24">
              <w:t>Low, Moderate or High</w:t>
            </w:r>
          </w:p>
        </w:tc>
      </w:tr>
      <w:tr w:rsidR="00B653EF" w:rsidRPr="00607BCD" w14:paraId="2FAC4399"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32B159BC" w14:textId="77777777" w:rsidR="00B653EF" w:rsidRPr="00607BCD" w:rsidRDefault="00B653EF" w:rsidP="004E4CD8">
            <w:pPr>
              <w:pStyle w:val="GSATableHeading"/>
            </w:pPr>
            <w:r w:rsidRPr="00607BCD">
              <w:t>Confidentiality</w:t>
            </w:r>
          </w:p>
        </w:tc>
        <w:tc>
          <w:tcPr>
            <w:tcW w:w="3633" w:type="pct"/>
            <w:shd w:val="clear" w:color="auto" w:fill="auto"/>
            <w:tcMar>
              <w:top w:w="0" w:type="dxa"/>
              <w:left w:w="101" w:type="dxa"/>
              <w:bottom w:w="115" w:type="dxa"/>
              <w:right w:w="101" w:type="dxa"/>
            </w:tcMar>
          </w:tcPr>
          <w:p w14:paraId="58CC4628" w14:textId="77777777" w:rsidR="00B653EF" w:rsidRPr="00607BCD" w:rsidRDefault="00B653EF" w:rsidP="004E4CD8">
            <w:pPr>
              <w:pStyle w:val="GSATableText"/>
            </w:pPr>
            <w:r>
              <w:t>Moderate (M)</w:t>
            </w:r>
          </w:p>
        </w:tc>
      </w:tr>
      <w:tr w:rsidR="00B653EF" w:rsidRPr="00607BCD" w14:paraId="55CA3BF4"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7EAA20F7" w14:textId="77777777" w:rsidR="00B653EF" w:rsidRPr="00607BCD" w:rsidRDefault="00B653EF" w:rsidP="004E4CD8">
            <w:pPr>
              <w:pStyle w:val="GSATableHeading"/>
            </w:pPr>
            <w:r w:rsidRPr="00607BCD">
              <w:t>Integrity</w:t>
            </w:r>
          </w:p>
        </w:tc>
        <w:tc>
          <w:tcPr>
            <w:tcW w:w="3633" w:type="pct"/>
            <w:shd w:val="clear" w:color="auto" w:fill="auto"/>
            <w:tcMar>
              <w:top w:w="0" w:type="dxa"/>
              <w:left w:w="101" w:type="dxa"/>
              <w:bottom w:w="115" w:type="dxa"/>
              <w:right w:w="101" w:type="dxa"/>
            </w:tcMar>
          </w:tcPr>
          <w:p w14:paraId="5FBFA282" w14:textId="77777777" w:rsidR="00B653EF" w:rsidRPr="00607BCD" w:rsidRDefault="00B653EF" w:rsidP="004E4CD8">
            <w:pPr>
              <w:pStyle w:val="GSATableText"/>
            </w:pPr>
            <w:r>
              <w:t>Moderate (M)</w:t>
            </w:r>
          </w:p>
        </w:tc>
      </w:tr>
      <w:tr w:rsidR="00B653EF" w:rsidRPr="00607BCD" w14:paraId="462E51CF" w14:textId="77777777" w:rsidTr="004E4CD8">
        <w:trPr>
          <w:cantSplit/>
          <w:trHeight w:val="20"/>
          <w:tblHeader/>
          <w:jc w:val="center"/>
        </w:trPr>
        <w:tc>
          <w:tcPr>
            <w:tcW w:w="1367" w:type="pct"/>
            <w:shd w:val="clear" w:color="auto" w:fill="auto"/>
            <w:tcMar>
              <w:top w:w="0" w:type="dxa"/>
              <w:left w:w="101" w:type="dxa"/>
              <w:bottom w:w="115" w:type="dxa"/>
              <w:right w:w="101" w:type="dxa"/>
            </w:tcMar>
          </w:tcPr>
          <w:p w14:paraId="4A6ADA9A" w14:textId="77777777" w:rsidR="00B653EF" w:rsidRPr="00607BCD" w:rsidRDefault="00B653EF" w:rsidP="004E4CD8">
            <w:pPr>
              <w:pStyle w:val="GSATableHeading"/>
            </w:pPr>
            <w:r w:rsidRPr="00607BCD">
              <w:t>Availability</w:t>
            </w:r>
          </w:p>
        </w:tc>
        <w:tc>
          <w:tcPr>
            <w:tcW w:w="3633" w:type="pct"/>
            <w:shd w:val="clear" w:color="auto" w:fill="auto"/>
            <w:tcMar>
              <w:top w:w="0" w:type="dxa"/>
              <w:left w:w="101" w:type="dxa"/>
              <w:bottom w:w="115" w:type="dxa"/>
              <w:right w:w="101" w:type="dxa"/>
            </w:tcMar>
          </w:tcPr>
          <w:p w14:paraId="0051336B" w14:textId="77777777" w:rsidR="00B653EF" w:rsidRPr="00607BCD" w:rsidRDefault="00B653EF" w:rsidP="004E4CD8">
            <w:pPr>
              <w:pStyle w:val="GSATableText"/>
            </w:pPr>
            <w:r>
              <w:t>Low (L)</w:t>
            </w:r>
          </w:p>
        </w:tc>
      </w:tr>
    </w:tbl>
    <w:p w14:paraId="7A05460B" w14:textId="69E249AE" w:rsidR="00B653EF" w:rsidRPr="00262553" w:rsidRDefault="00B653EF" w:rsidP="009C72E0">
      <w:pPr>
        <w:spacing w:before="120" w:after="120"/>
        <w:contextualSpacing/>
        <w:jc w:val="both"/>
      </w:pPr>
      <w:r w:rsidRPr="00262553">
        <w:t xml:space="preserve">It is based on these risks, third party independent assessors and a monthly review by HHS that DNAnexus uses the Moderate (M) baseline security controls. These controls are monitored </w:t>
      </w:r>
      <w:r w:rsidR="00262553" w:rsidRPr="00262553">
        <w:t>continuously</w:t>
      </w:r>
      <w:r w:rsidRPr="00262553">
        <w:t xml:space="preserve"> by DNAnexus and are assessed annually by a FedRAMP certified 3</w:t>
      </w:r>
      <w:r w:rsidRPr="00262553">
        <w:rPr>
          <w:vertAlign w:val="superscript"/>
        </w:rPr>
        <w:t>rd</w:t>
      </w:r>
      <w:r w:rsidRPr="00262553">
        <w:t xml:space="preserve"> party assessor. </w:t>
      </w:r>
    </w:p>
    <w:p w14:paraId="375D060A" w14:textId="77777777" w:rsidR="00846C34" w:rsidRPr="00262553" w:rsidRDefault="00846C34" w:rsidP="009C72E0">
      <w:pPr>
        <w:spacing w:before="120" w:after="120"/>
        <w:contextualSpacing/>
        <w:jc w:val="both"/>
      </w:pPr>
    </w:p>
    <w:p w14:paraId="06BD72CC" w14:textId="678A5E3B" w:rsidR="00846C34" w:rsidRPr="00262553" w:rsidRDefault="00846C34" w:rsidP="009C72E0">
      <w:pPr>
        <w:spacing w:before="120" w:after="120"/>
        <w:contextualSpacing/>
        <w:jc w:val="both"/>
      </w:pPr>
      <w:r w:rsidRPr="00262553">
        <w:t>For customers using DNAnexus for performing regulated operations, DNAnexus provides a 21 CFR § 11 compliant system supported by Quality Systems compliant with ISO</w:t>
      </w:r>
      <w:r w:rsidR="009F727D">
        <w:t>/IEC</w:t>
      </w:r>
      <w:r w:rsidRPr="00262553">
        <w:t xml:space="preserve"> 13485</w:t>
      </w:r>
      <w:r w:rsidR="009F727D">
        <w:t>:2016</w:t>
      </w:r>
      <w:r w:rsidRPr="00262553">
        <w:t xml:space="preserve"> and 21 CFR § 820.</w:t>
      </w:r>
    </w:p>
    <w:p w14:paraId="2CE9A253" w14:textId="77777777" w:rsidR="00B653EF" w:rsidRPr="00262553" w:rsidRDefault="00B653EF" w:rsidP="009C72E0">
      <w:pPr>
        <w:spacing w:before="120" w:after="120"/>
        <w:contextualSpacing/>
        <w:jc w:val="both"/>
      </w:pPr>
    </w:p>
    <w:p w14:paraId="1A05160F" w14:textId="6A473F01" w:rsidR="009C72E0" w:rsidRPr="00262553" w:rsidRDefault="00B653EF" w:rsidP="007407EA">
      <w:pPr>
        <w:spacing w:before="120" w:after="120"/>
        <w:contextualSpacing/>
        <w:jc w:val="both"/>
      </w:pPr>
      <w:r w:rsidRPr="00262553">
        <w:t xml:space="preserve">In addition to deploying the principles of zero trust and least </w:t>
      </w:r>
      <w:r w:rsidR="00262553" w:rsidRPr="00262553">
        <w:t>privilege</w:t>
      </w:r>
      <w:r w:rsidRPr="00262553">
        <w:t xml:space="preserve">, all data is </w:t>
      </w:r>
      <w:r w:rsidR="00262553" w:rsidRPr="00262553">
        <w:t>encrypted</w:t>
      </w:r>
      <w:r w:rsidRPr="00262553">
        <w:t xml:space="preserve"> in transit (TLS v1.2</w:t>
      </w:r>
      <w:r w:rsidRPr="009F2D2B">
        <w:rPr>
          <w:iCs/>
          <w:noProof/>
        </w:rPr>
        <w:t>+)</w:t>
      </w:r>
      <w:r w:rsidRPr="00262553">
        <w:t xml:space="preserve"> and at rest (AES256+). </w:t>
      </w:r>
      <w:r w:rsidR="006A761E" w:rsidRPr="00262553">
        <w:t xml:space="preserve">DNAnexus inherits the physical and environments of our cloud service providers, namely Amazon’s AWS and Microsoft Azure as indicated to be sub-processors of DNAnexus </w:t>
      </w:r>
      <w:bookmarkStart w:id="5" w:name="_Toc14271725"/>
      <w:bookmarkStart w:id="6" w:name="_Toc14271929"/>
      <w:bookmarkStart w:id="7" w:name="_Toc14391529"/>
      <w:bookmarkStart w:id="8" w:name="_Toc14391611"/>
      <w:bookmarkStart w:id="9" w:name="_Toc14391847"/>
      <w:bookmarkStart w:id="10" w:name="_Toc14435437"/>
      <w:bookmarkStart w:id="11" w:name="_Toc501369811"/>
      <w:bookmarkStart w:id="12" w:name="_Toc505602990"/>
      <w:bookmarkStart w:id="13" w:name="_Toc505780023"/>
      <w:bookmarkStart w:id="14" w:name="_Toc506305867"/>
      <w:bookmarkStart w:id="15" w:name="_Toc511035887"/>
      <w:bookmarkEnd w:id="5"/>
      <w:bookmarkEnd w:id="6"/>
      <w:bookmarkEnd w:id="7"/>
      <w:bookmarkEnd w:id="8"/>
      <w:bookmarkEnd w:id="9"/>
      <w:bookmarkEnd w:id="10"/>
      <w:r w:rsidR="006A761E" w:rsidRPr="00262553">
        <w:t>in the following Annex.</w:t>
      </w:r>
    </w:p>
    <w:p w14:paraId="4D827654" w14:textId="77777777" w:rsidR="007407EA" w:rsidRDefault="007407EA" w:rsidP="007407EA">
      <w:pPr>
        <w:spacing w:before="120" w:after="120"/>
        <w:contextualSpacing/>
        <w:jc w:val="both"/>
        <w:rPr>
          <w:iCs/>
          <w:noProof/>
          <w:sz w:val="24"/>
          <w:szCs w:val="24"/>
        </w:rPr>
      </w:pPr>
    </w:p>
    <w:p w14:paraId="38316E7A" w14:textId="45101F80" w:rsidR="00B27570" w:rsidRDefault="00B27570" w:rsidP="007407EA">
      <w:pPr>
        <w:spacing w:before="120" w:after="120"/>
        <w:contextualSpacing/>
        <w:jc w:val="both"/>
        <w:rPr>
          <w:iCs/>
          <w:noProof/>
          <w:sz w:val="24"/>
          <w:szCs w:val="24"/>
        </w:rPr>
      </w:pPr>
      <w:r>
        <w:rPr>
          <w:iCs/>
          <w:noProof/>
          <w:sz w:val="24"/>
          <w:szCs w:val="24"/>
        </w:rPr>
        <w:t>A sampling of the overall processes employed by DNAnexus to protect the data includes:</w:t>
      </w:r>
    </w:p>
    <w:tbl>
      <w:tblPr>
        <w:tblStyle w:val="TableGrid"/>
        <w:tblW w:w="0" w:type="auto"/>
        <w:jc w:val="center"/>
        <w:tblLook w:val="04A0" w:firstRow="1" w:lastRow="0" w:firstColumn="1" w:lastColumn="0" w:noHBand="0" w:noVBand="1"/>
      </w:tblPr>
      <w:tblGrid>
        <w:gridCol w:w="813"/>
        <w:gridCol w:w="4323"/>
        <w:gridCol w:w="615"/>
        <w:gridCol w:w="883"/>
        <w:gridCol w:w="3796"/>
      </w:tblGrid>
      <w:tr w:rsidR="00B27570" w14:paraId="048DDF6E" w14:textId="77777777" w:rsidTr="007407EA">
        <w:trPr>
          <w:jc w:val="center"/>
        </w:trPr>
        <w:tc>
          <w:tcPr>
            <w:tcW w:w="828" w:type="dxa"/>
            <w:shd w:val="clear" w:color="auto" w:fill="FFF2CC" w:themeFill="accent4" w:themeFillTint="33"/>
          </w:tcPr>
          <w:p w14:paraId="3455E014" w14:textId="7F5BB1B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w:t>
            </w:r>
          </w:p>
        </w:tc>
        <w:tc>
          <w:tcPr>
            <w:tcW w:w="4410" w:type="dxa"/>
          </w:tcPr>
          <w:p w14:paraId="5D824025" w14:textId="1196A6E3"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Encryption at rest and in transit</w:t>
            </w:r>
          </w:p>
        </w:tc>
        <w:tc>
          <w:tcPr>
            <w:tcW w:w="630" w:type="dxa"/>
            <w:tcBorders>
              <w:top w:val="nil"/>
              <w:bottom w:val="nil"/>
            </w:tcBorders>
          </w:tcPr>
          <w:p w14:paraId="68E3C652"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053C33CD" w14:textId="7503FD1A"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12</w:t>
            </w:r>
          </w:p>
        </w:tc>
        <w:tc>
          <w:tcPr>
            <w:tcW w:w="3888" w:type="dxa"/>
          </w:tcPr>
          <w:p w14:paraId="719BE42F" w14:textId="29BEC39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Reduction in Attack surfaces</w:t>
            </w:r>
          </w:p>
        </w:tc>
      </w:tr>
      <w:tr w:rsidR="00B27570" w14:paraId="23D0B34A" w14:textId="77777777" w:rsidTr="007407EA">
        <w:trPr>
          <w:jc w:val="center"/>
        </w:trPr>
        <w:tc>
          <w:tcPr>
            <w:tcW w:w="828" w:type="dxa"/>
            <w:shd w:val="clear" w:color="auto" w:fill="FFF2CC" w:themeFill="accent4" w:themeFillTint="33"/>
          </w:tcPr>
          <w:p w14:paraId="51C13848" w14:textId="7BBDD9AD"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w:t>
            </w:r>
          </w:p>
        </w:tc>
        <w:tc>
          <w:tcPr>
            <w:tcW w:w="4410" w:type="dxa"/>
          </w:tcPr>
          <w:p w14:paraId="7C98FA45" w14:textId="4CF8FB8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Zero trust compartmentalization</w:t>
            </w:r>
          </w:p>
        </w:tc>
        <w:tc>
          <w:tcPr>
            <w:tcW w:w="630" w:type="dxa"/>
            <w:tcBorders>
              <w:top w:val="nil"/>
              <w:bottom w:val="nil"/>
            </w:tcBorders>
          </w:tcPr>
          <w:p w14:paraId="13C61A49"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1EB27AE" w14:textId="0884B8CB"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13</w:t>
            </w:r>
          </w:p>
        </w:tc>
        <w:tc>
          <w:tcPr>
            <w:tcW w:w="3888" w:type="dxa"/>
          </w:tcPr>
          <w:p w14:paraId="255E0ACA" w14:textId="72649C2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Employee management</w:t>
            </w:r>
          </w:p>
        </w:tc>
      </w:tr>
      <w:tr w:rsidR="00B27570" w14:paraId="29BD9A16" w14:textId="77777777" w:rsidTr="007407EA">
        <w:trPr>
          <w:jc w:val="center"/>
        </w:trPr>
        <w:tc>
          <w:tcPr>
            <w:tcW w:w="828" w:type="dxa"/>
            <w:shd w:val="clear" w:color="auto" w:fill="FFF2CC" w:themeFill="accent4" w:themeFillTint="33"/>
          </w:tcPr>
          <w:p w14:paraId="187AD170" w14:textId="3D54A92D"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3</w:t>
            </w:r>
          </w:p>
        </w:tc>
        <w:tc>
          <w:tcPr>
            <w:tcW w:w="4410" w:type="dxa"/>
          </w:tcPr>
          <w:p w14:paraId="3AC167F7" w14:textId="637FA625"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Logical access control</w:t>
            </w:r>
          </w:p>
        </w:tc>
        <w:tc>
          <w:tcPr>
            <w:tcW w:w="630" w:type="dxa"/>
            <w:tcBorders>
              <w:top w:val="nil"/>
              <w:bottom w:val="nil"/>
            </w:tcBorders>
          </w:tcPr>
          <w:p w14:paraId="28BE4400"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2643829A" w14:textId="573D56A9"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14</w:t>
            </w:r>
          </w:p>
        </w:tc>
        <w:tc>
          <w:tcPr>
            <w:tcW w:w="3888" w:type="dxa"/>
          </w:tcPr>
          <w:p w14:paraId="06F6162E" w14:textId="0E43BEA3"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Security Trianing</w:t>
            </w:r>
          </w:p>
        </w:tc>
      </w:tr>
      <w:tr w:rsidR="00B27570" w14:paraId="10879AD7" w14:textId="77777777" w:rsidTr="007407EA">
        <w:trPr>
          <w:jc w:val="center"/>
        </w:trPr>
        <w:tc>
          <w:tcPr>
            <w:tcW w:w="828" w:type="dxa"/>
            <w:shd w:val="clear" w:color="auto" w:fill="FFF2CC" w:themeFill="accent4" w:themeFillTint="33"/>
          </w:tcPr>
          <w:p w14:paraId="69CCFA62" w14:textId="73EAE967"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4</w:t>
            </w:r>
          </w:p>
        </w:tc>
        <w:tc>
          <w:tcPr>
            <w:tcW w:w="4410" w:type="dxa"/>
          </w:tcPr>
          <w:p w14:paraId="77AE6ADF" w14:textId="13125028"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Separation of Data from meta-tags</w:t>
            </w:r>
          </w:p>
        </w:tc>
        <w:tc>
          <w:tcPr>
            <w:tcW w:w="630" w:type="dxa"/>
            <w:tcBorders>
              <w:top w:val="nil"/>
              <w:bottom w:val="nil"/>
            </w:tcBorders>
          </w:tcPr>
          <w:p w14:paraId="7946F51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234FB13" w14:textId="1331DB0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15</w:t>
            </w:r>
          </w:p>
        </w:tc>
        <w:tc>
          <w:tcPr>
            <w:tcW w:w="3888" w:type="dxa"/>
          </w:tcPr>
          <w:p w14:paraId="3590D6A7" w14:textId="46E6C5B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Web site protection</w:t>
            </w:r>
          </w:p>
        </w:tc>
      </w:tr>
      <w:tr w:rsidR="00B27570" w14:paraId="5C6C5B5F" w14:textId="77777777" w:rsidTr="007407EA">
        <w:trPr>
          <w:jc w:val="center"/>
        </w:trPr>
        <w:tc>
          <w:tcPr>
            <w:tcW w:w="828" w:type="dxa"/>
            <w:shd w:val="clear" w:color="auto" w:fill="FFF2CC" w:themeFill="accent4" w:themeFillTint="33"/>
          </w:tcPr>
          <w:p w14:paraId="3D4BD93C" w14:textId="16090E41"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lastRenderedPageBreak/>
              <w:t>5</w:t>
            </w:r>
          </w:p>
        </w:tc>
        <w:tc>
          <w:tcPr>
            <w:tcW w:w="4410" w:type="dxa"/>
          </w:tcPr>
          <w:p w14:paraId="21D9B64E" w14:textId="6CAEF3D0"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Physical Security</w:t>
            </w:r>
          </w:p>
        </w:tc>
        <w:tc>
          <w:tcPr>
            <w:tcW w:w="630" w:type="dxa"/>
            <w:tcBorders>
              <w:top w:val="nil"/>
              <w:bottom w:val="nil"/>
            </w:tcBorders>
          </w:tcPr>
          <w:p w14:paraId="38338A3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2C49CBC0" w14:textId="3079D01B"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16</w:t>
            </w:r>
          </w:p>
        </w:tc>
        <w:tc>
          <w:tcPr>
            <w:tcW w:w="3888" w:type="dxa"/>
          </w:tcPr>
          <w:p w14:paraId="261A5CF1" w14:textId="30E006FC"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Subcontractor agreements</w:t>
            </w:r>
          </w:p>
        </w:tc>
      </w:tr>
      <w:tr w:rsidR="00B27570" w14:paraId="12B81661" w14:textId="77777777" w:rsidTr="007407EA">
        <w:trPr>
          <w:jc w:val="center"/>
        </w:trPr>
        <w:tc>
          <w:tcPr>
            <w:tcW w:w="828" w:type="dxa"/>
            <w:shd w:val="clear" w:color="auto" w:fill="FFF2CC" w:themeFill="accent4" w:themeFillTint="33"/>
          </w:tcPr>
          <w:p w14:paraId="43FA32D7" w14:textId="74749493"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6</w:t>
            </w:r>
          </w:p>
        </w:tc>
        <w:tc>
          <w:tcPr>
            <w:tcW w:w="4410" w:type="dxa"/>
          </w:tcPr>
          <w:p w14:paraId="707D2816" w14:textId="5E037952"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Continuous Monitoring</w:t>
            </w:r>
          </w:p>
        </w:tc>
        <w:tc>
          <w:tcPr>
            <w:tcW w:w="630" w:type="dxa"/>
            <w:tcBorders>
              <w:top w:val="nil"/>
              <w:bottom w:val="nil"/>
            </w:tcBorders>
          </w:tcPr>
          <w:p w14:paraId="0C77C6DC"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6A14AAEE" w14:textId="1DD4D180"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17</w:t>
            </w:r>
          </w:p>
        </w:tc>
        <w:tc>
          <w:tcPr>
            <w:tcW w:w="3888" w:type="dxa"/>
          </w:tcPr>
          <w:p w14:paraId="35EE5177" w14:textId="24E2778C"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ISO</w:t>
            </w:r>
            <w:r w:rsidR="009F727D">
              <w:rPr>
                <w:rFonts w:ascii="Arial" w:hAnsi="Arial" w:cs="Arial"/>
                <w:iCs/>
                <w:noProof/>
                <w:sz w:val="20"/>
                <w:szCs w:val="20"/>
              </w:rPr>
              <w:t>/IEC</w:t>
            </w:r>
            <w:r w:rsidRPr="007407EA">
              <w:rPr>
                <w:rFonts w:ascii="Arial" w:hAnsi="Arial" w:cs="Arial"/>
                <w:iCs/>
                <w:noProof/>
                <w:sz w:val="20"/>
                <w:szCs w:val="20"/>
              </w:rPr>
              <w:t xml:space="preserve"> 27001</w:t>
            </w:r>
            <w:r w:rsidR="009F727D">
              <w:rPr>
                <w:rFonts w:ascii="Arial" w:hAnsi="Arial" w:cs="Arial"/>
                <w:iCs/>
                <w:noProof/>
                <w:sz w:val="20"/>
                <w:szCs w:val="20"/>
              </w:rPr>
              <w:t>:2013</w:t>
            </w:r>
            <w:r w:rsidRPr="007407EA">
              <w:rPr>
                <w:rFonts w:ascii="Arial" w:hAnsi="Arial" w:cs="Arial"/>
                <w:iCs/>
                <w:noProof/>
                <w:sz w:val="20"/>
                <w:szCs w:val="20"/>
              </w:rPr>
              <w:t xml:space="preserve"> certification</w:t>
            </w:r>
          </w:p>
        </w:tc>
      </w:tr>
      <w:tr w:rsidR="00B27570" w14:paraId="79CD5A43" w14:textId="77777777" w:rsidTr="007407EA">
        <w:trPr>
          <w:jc w:val="center"/>
        </w:trPr>
        <w:tc>
          <w:tcPr>
            <w:tcW w:w="828" w:type="dxa"/>
            <w:shd w:val="clear" w:color="auto" w:fill="FFF2CC" w:themeFill="accent4" w:themeFillTint="33"/>
          </w:tcPr>
          <w:p w14:paraId="3B3F3A0A" w14:textId="3774B7C0"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7</w:t>
            </w:r>
          </w:p>
        </w:tc>
        <w:tc>
          <w:tcPr>
            <w:tcW w:w="4410" w:type="dxa"/>
          </w:tcPr>
          <w:p w14:paraId="03A27152" w14:textId="1A5CBDCF"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Logging</w:t>
            </w:r>
          </w:p>
        </w:tc>
        <w:tc>
          <w:tcPr>
            <w:tcW w:w="630" w:type="dxa"/>
            <w:tcBorders>
              <w:top w:val="nil"/>
              <w:bottom w:val="nil"/>
            </w:tcBorders>
          </w:tcPr>
          <w:p w14:paraId="09E2088C"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F6E875A" w14:textId="2C8647FE"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18</w:t>
            </w:r>
          </w:p>
        </w:tc>
        <w:tc>
          <w:tcPr>
            <w:tcW w:w="3888" w:type="dxa"/>
          </w:tcPr>
          <w:p w14:paraId="0E4B4CC8" w14:textId="2E0382D4"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FedRAMP Moderate “ATO”</w:t>
            </w:r>
          </w:p>
        </w:tc>
      </w:tr>
      <w:tr w:rsidR="00B27570" w14:paraId="46C258F2" w14:textId="77777777" w:rsidTr="007407EA">
        <w:trPr>
          <w:jc w:val="center"/>
        </w:trPr>
        <w:tc>
          <w:tcPr>
            <w:tcW w:w="828" w:type="dxa"/>
            <w:shd w:val="clear" w:color="auto" w:fill="FFF2CC" w:themeFill="accent4" w:themeFillTint="33"/>
          </w:tcPr>
          <w:p w14:paraId="560CB2BA" w14:textId="13BA0D6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8</w:t>
            </w:r>
          </w:p>
        </w:tc>
        <w:tc>
          <w:tcPr>
            <w:tcW w:w="4410" w:type="dxa"/>
          </w:tcPr>
          <w:p w14:paraId="4031631C" w14:textId="16DE760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Least Access</w:t>
            </w:r>
            <w:r w:rsidR="007407EA" w:rsidRPr="007407EA">
              <w:rPr>
                <w:rFonts w:ascii="Arial" w:hAnsi="Arial" w:cs="Arial"/>
                <w:iCs/>
                <w:noProof/>
                <w:sz w:val="20"/>
                <w:szCs w:val="20"/>
              </w:rPr>
              <w:t>. Least Priviledge</w:t>
            </w:r>
          </w:p>
        </w:tc>
        <w:tc>
          <w:tcPr>
            <w:tcW w:w="630" w:type="dxa"/>
            <w:tcBorders>
              <w:top w:val="nil"/>
              <w:bottom w:val="nil"/>
            </w:tcBorders>
          </w:tcPr>
          <w:p w14:paraId="41B40555"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323D77C1" w14:textId="181A19C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19</w:t>
            </w:r>
          </w:p>
        </w:tc>
        <w:tc>
          <w:tcPr>
            <w:tcW w:w="3888" w:type="dxa"/>
          </w:tcPr>
          <w:p w14:paraId="7B27F3D6" w14:textId="07BA4F25"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21 CFR § 11 and Annex 11 compliance</w:t>
            </w:r>
          </w:p>
        </w:tc>
      </w:tr>
      <w:tr w:rsidR="00B27570" w14:paraId="5BA1AD1C" w14:textId="77777777" w:rsidTr="007407EA">
        <w:trPr>
          <w:jc w:val="center"/>
        </w:trPr>
        <w:tc>
          <w:tcPr>
            <w:tcW w:w="828" w:type="dxa"/>
            <w:shd w:val="clear" w:color="auto" w:fill="FFF2CC" w:themeFill="accent4" w:themeFillTint="33"/>
          </w:tcPr>
          <w:p w14:paraId="2428C8D8" w14:textId="4D2CEE74"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9</w:t>
            </w:r>
          </w:p>
        </w:tc>
        <w:tc>
          <w:tcPr>
            <w:tcW w:w="4410" w:type="dxa"/>
          </w:tcPr>
          <w:p w14:paraId="4BADCEA0" w14:textId="555E589D"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Active sense &amp; response to malicious software</w:t>
            </w:r>
          </w:p>
        </w:tc>
        <w:tc>
          <w:tcPr>
            <w:tcW w:w="630" w:type="dxa"/>
            <w:tcBorders>
              <w:top w:val="nil"/>
              <w:bottom w:val="nil"/>
            </w:tcBorders>
          </w:tcPr>
          <w:p w14:paraId="65DCA6E4"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5CFB5FB4" w14:textId="13D9A42C"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20</w:t>
            </w:r>
          </w:p>
        </w:tc>
        <w:tc>
          <w:tcPr>
            <w:tcW w:w="3888" w:type="dxa"/>
          </w:tcPr>
          <w:p w14:paraId="3293654B" w14:textId="143D0ABB"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Quality System Regulation Compliance</w:t>
            </w:r>
          </w:p>
        </w:tc>
      </w:tr>
      <w:tr w:rsidR="00B27570" w14:paraId="77713AC9" w14:textId="77777777" w:rsidTr="007407EA">
        <w:trPr>
          <w:jc w:val="center"/>
        </w:trPr>
        <w:tc>
          <w:tcPr>
            <w:tcW w:w="828" w:type="dxa"/>
            <w:shd w:val="clear" w:color="auto" w:fill="FFF2CC" w:themeFill="accent4" w:themeFillTint="33"/>
          </w:tcPr>
          <w:p w14:paraId="647AF438" w14:textId="4B1A3742"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10</w:t>
            </w:r>
          </w:p>
        </w:tc>
        <w:tc>
          <w:tcPr>
            <w:tcW w:w="4410" w:type="dxa"/>
          </w:tcPr>
          <w:p w14:paraId="5BF7FB82" w14:textId="2FF4ED86"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Workstation management</w:t>
            </w:r>
          </w:p>
        </w:tc>
        <w:tc>
          <w:tcPr>
            <w:tcW w:w="630" w:type="dxa"/>
            <w:tcBorders>
              <w:top w:val="nil"/>
              <w:bottom w:val="nil"/>
            </w:tcBorders>
          </w:tcPr>
          <w:p w14:paraId="53788B08"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527AA5D2" w14:textId="7220D688"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21</w:t>
            </w:r>
          </w:p>
        </w:tc>
        <w:tc>
          <w:tcPr>
            <w:tcW w:w="3888" w:type="dxa"/>
          </w:tcPr>
          <w:p w14:paraId="4638430E" w14:textId="632D9F62"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 xml:space="preserve">Alignment with </w:t>
            </w:r>
            <w:r w:rsidR="007407EA" w:rsidRPr="007407EA">
              <w:rPr>
                <w:rFonts w:ascii="Arial" w:hAnsi="Arial" w:cs="Arial"/>
                <w:iCs/>
                <w:noProof/>
                <w:sz w:val="20"/>
                <w:szCs w:val="20"/>
              </w:rPr>
              <w:t>applicable privacy standards</w:t>
            </w:r>
          </w:p>
        </w:tc>
      </w:tr>
      <w:tr w:rsidR="00B27570" w14:paraId="07B53132" w14:textId="77777777" w:rsidTr="007407EA">
        <w:trPr>
          <w:jc w:val="center"/>
        </w:trPr>
        <w:tc>
          <w:tcPr>
            <w:tcW w:w="828" w:type="dxa"/>
            <w:shd w:val="clear" w:color="auto" w:fill="FFF2CC" w:themeFill="accent4" w:themeFillTint="33"/>
          </w:tcPr>
          <w:p w14:paraId="4DE934E5" w14:textId="2B4E76E3"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11</w:t>
            </w:r>
          </w:p>
        </w:tc>
        <w:tc>
          <w:tcPr>
            <w:tcW w:w="4410" w:type="dxa"/>
          </w:tcPr>
          <w:p w14:paraId="069F030C" w14:textId="4B133799" w:rsidR="00B27570" w:rsidRPr="007407EA" w:rsidRDefault="001F1BC0"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Traceability</w:t>
            </w:r>
          </w:p>
        </w:tc>
        <w:tc>
          <w:tcPr>
            <w:tcW w:w="630" w:type="dxa"/>
            <w:tcBorders>
              <w:top w:val="nil"/>
              <w:bottom w:val="nil"/>
            </w:tcBorders>
          </w:tcPr>
          <w:p w14:paraId="1D448C46" w14:textId="77777777" w:rsidR="00B27570" w:rsidRPr="007407EA" w:rsidRDefault="00B27570" w:rsidP="006A761E">
            <w:pPr>
              <w:spacing w:before="120" w:after="120"/>
              <w:contextualSpacing/>
              <w:jc w:val="both"/>
              <w:rPr>
                <w:rFonts w:ascii="Arial" w:hAnsi="Arial" w:cs="Arial"/>
                <w:iCs/>
                <w:noProof/>
                <w:sz w:val="20"/>
                <w:szCs w:val="20"/>
              </w:rPr>
            </w:pPr>
          </w:p>
        </w:tc>
        <w:tc>
          <w:tcPr>
            <w:tcW w:w="900" w:type="dxa"/>
            <w:shd w:val="clear" w:color="auto" w:fill="FFF2CC" w:themeFill="accent4" w:themeFillTint="33"/>
          </w:tcPr>
          <w:p w14:paraId="69C613A6" w14:textId="6C2BCF8A" w:rsidR="00B27570" w:rsidRPr="007407EA" w:rsidRDefault="00B27570" w:rsidP="007407EA">
            <w:pPr>
              <w:spacing w:before="120" w:after="120"/>
              <w:contextualSpacing/>
              <w:jc w:val="center"/>
              <w:rPr>
                <w:rFonts w:ascii="Arial" w:hAnsi="Arial" w:cs="Arial"/>
                <w:iCs/>
                <w:noProof/>
                <w:sz w:val="20"/>
                <w:szCs w:val="20"/>
              </w:rPr>
            </w:pPr>
            <w:r w:rsidRPr="007407EA">
              <w:rPr>
                <w:rFonts w:ascii="Arial" w:hAnsi="Arial" w:cs="Arial"/>
                <w:iCs/>
                <w:noProof/>
                <w:sz w:val="20"/>
                <w:szCs w:val="20"/>
              </w:rPr>
              <w:t>22</w:t>
            </w:r>
          </w:p>
        </w:tc>
        <w:tc>
          <w:tcPr>
            <w:tcW w:w="3888" w:type="dxa"/>
          </w:tcPr>
          <w:p w14:paraId="6EECA650" w14:textId="6E13B907" w:rsidR="00B27570" w:rsidRPr="007407EA" w:rsidRDefault="007407EA" w:rsidP="006A761E">
            <w:pPr>
              <w:spacing w:before="120" w:after="120"/>
              <w:contextualSpacing/>
              <w:jc w:val="both"/>
              <w:rPr>
                <w:rFonts w:ascii="Arial" w:hAnsi="Arial" w:cs="Arial"/>
                <w:iCs/>
                <w:noProof/>
                <w:sz w:val="20"/>
                <w:szCs w:val="20"/>
              </w:rPr>
            </w:pPr>
            <w:r w:rsidRPr="007407EA">
              <w:rPr>
                <w:rFonts w:ascii="Arial" w:hAnsi="Arial" w:cs="Arial"/>
                <w:iCs/>
                <w:noProof/>
                <w:sz w:val="20"/>
                <w:szCs w:val="20"/>
              </w:rPr>
              <w:t>Resilience to changing workloads</w:t>
            </w:r>
          </w:p>
        </w:tc>
      </w:tr>
    </w:tbl>
    <w:p w14:paraId="16954D11" w14:textId="77777777" w:rsidR="00B27570" w:rsidRDefault="00B27570" w:rsidP="006A761E">
      <w:pPr>
        <w:spacing w:before="120" w:after="120"/>
        <w:contextualSpacing/>
        <w:jc w:val="both"/>
        <w:rPr>
          <w:iCs/>
          <w:noProof/>
          <w:sz w:val="24"/>
          <w:szCs w:val="24"/>
        </w:rPr>
      </w:pPr>
    </w:p>
    <w:p w14:paraId="502BF100" w14:textId="77777777" w:rsidR="006A761E" w:rsidRDefault="006A761E" w:rsidP="00374669">
      <w:pPr>
        <w:spacing w:before="120" w:after="120"/>
        <w:contextualSpacing/>
        <w:jc w:val="both"/>
        <w:rPr>
          <w:noProof/>
          <w:sz w:val="24"/>
        </w:rPr>
      </w:pPr>
    </w:p>
    <w:bookmarkEnd w:id="4"/>
    <w:bookmarkEnd w:id="11"/>
    <w:bookmarkEnd w:id="12"/>
    <w:bookmarkEnd w:id="13"/>
    <w:bookmarkEnd w:id="14"/>
    <w:bookmarkEnd w:id="15"/>
    <w:p w14:paraId="6A6EE5FB" w14:textId="77777777" w:rsidR="00262553" w:rsidRDefault="00262553">
      <w:pPr>
        <w:widowControl/>
        <w:autoSpaceDE/>
        <w:autoSpaceDN/>
        <w:adjustRightInd/>
        <w:rPr>
          <w:b/>
          <w:noProof/>
          <w:sz w:val="24"/>
          <w:u w:val="single"/>
        </w:rPr>
      </w:pPr>
      <w:r>
        <w:rPr>
          <w:b/>
          <w:noProof/>
          <w:sz w:val="24"/>
          <w:u w:val="single"/>
        </w:rPr>
        <w:br w:type="page"/>
      </w:r>
    </w:p>
    <w:p w14:paraId="40C965A4" w14:textId="4A48EB12" w:rsidR="009C72E0" w:rsidRDefault="009C72E0" w:rsidP="002A1DDD">
      <w:pPr>
        <w:pStyle w:val="Heading2"/>
        <w:rPr>
          <w:noProof/>
        </w:rPr>
      </w:pPr>
      <w:r>
        <w:rPr>
          <w:noProof/>
        </w:rPr>
        <w:lastRenderedPageBreak/>
        <w:t>ANNEX III – LIST OF SUB-PROCESSORS</w:t>
      </w:r>
    </w:p>
    <w:p w14:paraId="5F6A7CDF" w14:textId="77777777" w:rsidR="009C72E0" w:rsidRDefault="009C72E0" w:rsidP="009C72E0">
      <w:pPr>
        <w:numPr>
          <w:ilvl w:val="1"/>
          <w:numId w:val="0"/>
        </w:numPr>
        <w:spacing w:before="120" w:after="120"/>
        <w:jc w:val="both"/>
        <w:rPr>
          <w:noProof/>
          <w:sz w:val="24"/>
        </w:rPr>
      </w:pPr>
      <w:r>
        <w:rPr>
          <w:noProof/>
          <w:sz w:val="24"/>
        </w:rPr>
        <w:t xml:space="preserve">The controller has authorised the use of the following sub-processors: </w:t>
      </w:r>
    </w:p>
    <w:p w14:paraId="76AB06FF" w14:textId="40704350" w:rsidR="00262553" w:rsidRPr="00262553" w:rsidRDefault="009C72E0" w:rsidP="00262553">
      <w:pPr>
        <w:numPr>
          <w:ilvl w:val="0"/>
          <w:numId w:val="34"/>
        </w:numPr>
        <w:jc w:val="both"/>
        <w:rPr>
          <w:noProof/>
          <w:sz w:val="24"/>
        </w:rPr>
      </w:pPr>
      <w:r>
        <w:rPr>
          <w:noProof/>
          <w:sz w:val="24"/>
        </w:rPr>
        <w:t>Name:</w:t>
      </w:r>
      <w:r w:rsidR="00020F31">
        <w:rPr>
          <w:noProof/>
          <w:sz w:val="24"/>
        </w:rPr>
        <w:t xml:space="preserve"> Amazon Web Services</w:t>
      </w:r>
      <w:r w:rsidR="00797BD8">
        <w:rPr>
          <w:noProof/>
          <w:sz w:val="24"/>
        </w:rPr>
        <w:t xml:space="preserve"> (AWS)</w:t>
      </w:r>
      <w:r w:rsidR="00262553">
        <w:rPr>
          <w:noProof/>
          <w:sz w:val="24"/>
        </w:rPr>
        <w:br/>
        <w:t>Address: 410 Terry Avenue North, Seattle WA 98109</w:t>
      </w:r>
      <w:r w:rsidR="00262553">
        <w:rPr>
          <w:noProof/>
          <w:sz w:val="24"/>
        </w:rPr>
        <w:br/>
      </w:r>
      <w:r w:rsidR="00CA00E0">
        <w:rPr>
          <w:noProof/>
          <w:sz w:val="24"/>
        </w:rPr>
        <w:t>Contact</w:t>
      </w:r>
      <w:r w:rsidR="005B6719">
        <w:rPr>
          <w:noProof/>
          <w:sz w:val="24"/>
        </w:rPr>
        <w:t xml:space="preserve">: </w:t>
      </w:r>
      <w:hyperlink r:id="rId9" w:history="1">
        <w:r w:rsidR="00262553" w:rsidRPr="005B6719">
          <w:rPr>
            <w:rStyle w:val="Hyperlink"/>
            <w:noProof/>
            <w:sz w:val="24"/>
          </w:rPr>
          <w:t>https://aws.amazon.com/contact-us/compliance-support/</w:t>
        </w:r>
      </w:hyperlink>
      <w:r w:rsidR="00262553">
        <w:rPr>
          <w:noProof/>
          <w:sz w:val="24"/>
        </w:rPr>
        <w:br/>
        <w:t>Description of processing: infrastructure hosting services</w:t>
      </w:r>
      <w:r w:rsidR="00262553">
        <w:rPr>
          <w:noProof/>
          <w:sz w:val="24"/>
        </w:rPr>
        <w:br/>
      </w:r>
    </w:p>
    <w:p w14:paraId="04B68A3E" w14:textId="5DA8D95B" w:rsidR="00020F31" w:rsidRDefault="00020F31" w:rsidP="00262553">
      <w:pPr>
        <w:numPr>
          <w:ilvl w:val="0"/>
          <w:numId w:val="34"/>
        </w:numPr>
        <w:jc w:val="both"/>
        <w:rPr>
          <w:noProof/>
          <w:sz w:val="24"/>
        </w:rPr>
      </w:pPr>
      <w:r>
        <w:rPr>
          <w:noProof/>
          <w:sz w:val="24"/>
        </w:rPr>
        <w:t>Name: Microsoft Azure</w:t>
      </w:r>
      <w:r w:rsidR="00262553">
        <w:rPr>
          <w:noProof/>
          <w:sz w:val="24"/>
        </w:rPr>
        <w:br/>
        <w:t>Address:</w:t>
      </w:r>
      <w:r w:rsidR="00CA00E0">
        <w:rPr>
          <w:noProof/>
          <w:sz w:val="24"/>
        </w:rPr>
        <w:t xml:space="preserve"> One Microsoft Way, Redmond, WA 98052, USA</w:t>
      </w:r>
      <w:r w:rsidR="00262553">
        <w:rPr>
          <w:noProof/>
          <w:sz w:val="24"/>
        </w:rPr>
        <w:br/>
      </w:r>
      <w:r w:rsidR="00CA00E0">
        <w:rPr>
          <w:noProof/>
          <w:sz w:val="24"/>
        </w:rPr>
        <w:t>Contact</w:t>
      </w:r>
      <w:r w:rsidR="00262553">
        <w:rPr>
          <w:noProof/>
          <w:sz w:val="24"/>
        </w:rPr>
        <w:t xml:space="preserve">: </w:t>
      </w:r>
      <w:hyperlink r:id="rId10" w:history="1">
        <w:r w:rsidR="00CA00E0">
          <w:rPr>
            <w:rStyle w:val="Hyperlink"/>
          </w:rPr>
          <w:t>https://azure.microsoft.com/en-gb/overview/trusted-cloud/privacy/</w:t>
        </w:r>
      </w:hyperlink>
      <w:r w:rsidR="005B6719">
        <w:rPr>
          <w:noProof/>
          <w:sz w:val="24"/>
        </w:rPr>
        <w:br/>
        <w:t>Description of processing: infrastructure hosting services</w:t>
      </w:r>
      <w:r w:rsidR="005B6719">
        <w:rPr>
          <w:noProof/>
          <w:sz w:val="24"/>
        </w:rPr>
        <w:br/>
      </w:r>
    </w:p>
    <w:p w14:paraId="20F07E3E" w14:textId="3B17886B" w:rsidR="005B6719" w:rsidRDefault="005B6719" w:rsidP="00262553">
      <w:pPr>
        <w:numPr>
          <w:ilvl w:val="0"/>
          <w:numId w:val="34"/>
        </w:numPr>
        <w:jc w:val="both"/>
        <w:rPr>
          <w:noProof/>
          <w:sz w:val="24"/>
        </w:rPr>
      </w:pPr>
      <w:r>
        <w:rPr>
          <w:noProof/>
          <w:sz w:val="24"/>
        </w:rPr>
        <w:t>Name: Salesforce.com</w:t>
      </w:r>
      <w:r>
        <w:rPr>
          <w:noProof/>
          <w:sz w:val="24"/>
        </w:rPr>
        <w:br/>
        <w:t>Address: 55 2</w:t>
      </w:r>
      <w:r w:rsidRPr="002A1DDD">
        <w:rPr>
          <w:noProof/>
          <w:sz w:val="24"/>
          <w:vertAlign w:val="superscript"/>
        </w:rPr>
        <w:t>nd</w:t>
      </w:r>
      <w:r>
        <w:rPr>
          <w:noProof/>
          <w:sz w:val="24"/>
        </w:rPr>
        <w:t xml:space="preserve"> Street, 4</w:t>
      </w:r>
      <w:r w:rsidRPr="002A1DDD">
        <w:rPr>
          <w:noProof/>
          <w:sz w:val="24"/>
          <w:vertAlign w:val="superscript"/>
        </w:rPr>
        <w:t>th</w:t>
      </w:r>
      <w:r>
        <w:rPr>
          <w:noProof/>
          <w:sz w:val="24"/>
        </w:rPr>
        <w:t xml:space="preserve"> Floor, San Francisco, CA 94105</w:t>
      </w:r>
      <w:r>
        <w:rPr>
          <w:noProof/>
          <w:sz w:val="24"/>
        </w:rPr>
        <w:br/>
        <w:t xml:space="preserve">Contact: </w:t>
      </w:r>
      <w:hyperlink r:id="rId11" w:history="1">
        <w:r w:rsidRPr="009D3373">
          <w:rPr>
            <w:rStyle w:val="Hyperlink"/>
            <w:noProof/>
            <w:sz w:val="24"/>
          </w:rPr>
          <w:t>privacy@salesforce.com</w:t>
        </w:r>
      </w:hyperlink>
      <w:r>
        <w:rPr>
          <w:noProof/>
          <w:sz w:val="24"/>
        </w:rPr>
        <w:t xml:space="preserve">  and (1) 844.287.7147</w:t>
      </w:r>
      <w:r>
        <w:rPr>
          <w:noProof/>
          <w:sz w:val="24"/>
        </w:rPr>
        <w:br/>
        <w:t>Description of processing: ServiceCloud is used for support services</w:t>
      </w:r>
      <w:r>
        <w:rPr>
          <w:noProof/>
          <w:sz w:val="24"/>
        </w:rPr>
        <w:br/>
      </w:r>
    </w:p>
    <w:p w14:paraId="10D95222" w14:textId="3DD1EC11" w:rsidR="005B6719" w:rsidRDefault="005B6719" w:rsidP="00262553">
      <w:pPr>
        <w:numPr>
          <w:ilvl w:val="0"/>
          <w:numId w:val="34"/>
        </w:numPr>
        <w:jc w:val="both"/>
        <w:rPr>
          <w:noProof/>
          <w:sz w:val="24"/>
        </w:rPr>
      </w:pPr>
      <w:r>
        <w:rPr>
          <w:noProof/>
          <w:sz w:val="24"/>
        </w:rPr>
        <w:t>Name: SendGrid</w:t>
      </w:r>
      <w:r>
        <w:rPr>
          <w:noProof/>
          <w:sz w:val="24"/>
        </w:rPr>
        <w:br/>
        <w:t>Address: 400 Spectrum Center Dr #400, Irvine, CA 92618</w:t>
      </w:r>
      <w:r>
        <w:rPr>
          <w:noProof/>
          <w:sz w:val="24"/>
        </w:rPr>
        <w:br/>
        <w:t>Contact: (1) 887.749.5740</w:t>
      </w:r>
      <w:r>
        <w:rPr>
          <w:noProof/>
          <w:sz w:val="24"/>
        </w:rPr>
        <w:br/>
        <w:t>Description of processing: Email notification services (non-FedRAMP customers)</w:t>
      </w:r>
      <w:r w:rsidR="006B610F">
        <w:rPr>
          <w:noProof/>
          <w:sz w:val="24"/>
        </w:rPr>
        <w:br/>
      </w:r>
    </w:p>
    <w:p w14:paraId="6142F43F" w14:textId="434BAB44" w:rsidR="006B610F" w:rsidRPr="006B610F" w:rsidRDefault="006B610F" w:rsidP="006B610F">
      <w:pPr>
        <w:numPr>
          <w:ilvl w:val="0"/>
          <w:numId w:val="34"/>
        </w:numPr>
        <w:jc w:val="both"/>
        <w:rPr>
          <w:noProof/>
          <w:sz w:val="24"/>
        </w:rPr>
      </w:pPr>
      <w:r>
        <w:rPr>
          <w:noProof/>
          <w:sz w:val="24"/>
        </w:rPr>
        <w:t>Name: RemoFirst</w:t>
      </w:r>
      <w:r>
        <w:rPr>
          <w:noProof/>
          <w:sz w:val="24"/>
        </w:rPr>
        <w:br/>
        <w:t>Address: 415 Mission Street, San Francisco, CA 94105</w:t>
      </w:r>
      <w:r>
        <w:rPr>
          <w:noProof/>
          <w:sz w:val="24"/>
        </w:rPr>
        <w:br/>
        <w:t>Description of processing: Customer Support and software development, including billing</w:t>
      </w:r>
    </w:p>
    <w:p w14:paraId="246540FE" w14:textId="1DE5AEF3" w:rsidR="009C72E0" w:rsidRDefault="009C72E0" w:rsidP="009C72E0">
      <w:pPr>
        <w:numPr>
          <w:ilvl w:val="1"/>
          <w:numId w:val="0"/>
        </w:numPr>
        <w:spacing w:before="120" w:after="120"/>
        <w:jc w:val="both"/>
        <w:rPr>
          <w:noProof/>
          <w:sz w:val="24"/>
        </w:rPr>
      </w:pPr>
    </w:p>
    <w:p w14:paraId="5B7B08C5" w14:textId="241D27A0" w:rsidR="00045F97" w:rsidRDefault="00045F97">
      <w:pPr>
        <w:widowControl/>
        <w:autoSpaceDE/>
        <w:autoSpaceDN/>
        <w:adjustRightInd/>
        <w:rPr>
          <w:noProof/>
          <w:sz w:val="24"/>
        </w:rPr>
      </w:pPr>
      <w:r>
        <w:rPr>
          <w:noProof/>
          <w:sz w:val="24"/>
        </w:rPr>
        <w:br w:type="page"/>
      </w:r>
    </w:p>
    <w:p w14:paraId="25FC4CBD" w14:textId="2E708DE5" w:rsidR="00955D27" w:rsidRDefault="00955D27" w:rsidP="002A1DDD">
      <w:pPr>
        <w:pStyle w:val="Heading1"/>
        <w:jc w:val="center"/>
        <w:rPr>
          <w:noProof/>
        </w:rPr>
      </w:pPr>
      <w:r>
        <w:rPr>
          <w:noProof/>
        </w:rPr>
        <w:lastRenderedPageBreak/>
        <w:t>Schedule 2: INTERNATIONAL DATA TRANSFER ADDENDUM</w:t>
      </w:r>
    </w:p>
    <w:p w14:paraId="2F0061DC" w14:textId="163FDFC0" w:rsidR="00955D27" w:rsidRDefault="00955D27" w:rsidP="00955D27">
      <w:pPr>
        <w:spacing w:before="240" w:after="120"/>
        <w:jc w:val="center"/>
        <w:rPr>
          <w:bCs/>
          <w:noProof/>
          <w:sz w:val="24"/>
        </w:rPr>
      </w:pPr>
      <w:r>
        <w:rPr>
          <w:bCs/>
          <w:noProof/>
          <w:sz w:val="24"/>
        </w:rPr>
        <w:t xml:space="preserve">Also known as the </w:t>
      </w:r>
      <w:r w:rsidR="0095510A">
        <w:rPr>
          <w:bCs/>
          <w:noProof/>
          <w:sz w:val="24"/>
        </w:rPr>
        <w:t>“</w:t>
      </w:r>
      <w:r>
        <w:rPr>
          <w:bCs/>
          <w:noProof/>
          <w:sz w:val="24"/>
        </w:rPr>
        <w:t>UK Addendum</w:t>
      </w:r>
      <w:r w:rsidR="00713455">
        <w:rPr>
          <w:bCs/>
          <w:noProof/>
          <w:sz w:val="24"/>
        </w:rPr>
        <w:t>”</w:t>
      </w:r>
    </w:p>
    <w:p w14:paraId="11930ABC" w14:textId="1A822961" w:rsidR="00D26F1E" w:rsidRDefault="001041AA" w:rsidP="00D26F1E">
      <w:pPr>
        <w:spacing w:before="240" w:after="120"/>
        <w:rPr>
          <w:bCs/>
          <w:noProof/>
          <w:sz w:val="24"/>
        </w:rPr>
      </w:pPr>
      <w:r>
        <w:rPr>
          <w:bCs/>
          <w:noProof/>
          <w:sz w:val="24"/>
        </w:rPr>
        <w:t xml:space="preserve">The full text of this document is here: </w:t>
      </w:r>
      <w:r>
        <w:rPr>
          <w:bCs/>
          <w:noProof/>
          <w:sz w:val="24"/>
        </w:rPr>
        <w:br/>
      </w:r>
      <w:hyperlink r:id="rId12" w:history="1">
        <w:r w:rsidR="00DE7CA6" w:rsidRPr="00DE7CA6">
          <w:rPr>
            <w:rStyle w:val="Hyperlink"/>
            <w:bCs/>
            <w:noProof/>
            <w:sz w:val="24"/>
          </w:rPr>
          <w:t>https://ico.org.uk/media/for-organisations/documents/4019539/international-data-transfer-addendum.pdf</w:t>
        </w:r>
      </w:hyperlink>
    </w:p>
    <w:p w14:paraId="727EC6A5" w14:textId="1D519517" w:rsidR="001041AA" w:rsidRDefault="001041AA" w:rsidP="00D26F1E">
      <w:pPr>
        <w:spacing w:before="240" w:after="120"/>
        <w:rPr>
          <w:bCs/>
          <w:noProof/>
          <w:sz w:val="24"/>
        </w:rPr>
      </w:pPr>
      <w:r>
        <w:rPr>
          <w:bCs/>
          <w:noProof/>
          <w:sz w:val="24"/>
        </w:rPr>
        <w:t>The tables for completion are reproduced here. All mandatory clauses remain unaltered.</w:t>
      </w:r>
    </w:p>
    <w:p w14:paraId="083798E7" w14:textId="77777777" w:rsidR="0095510A" w:rsidRPr="00E3487F" w:rsidRDefault="0095510A" w:rsidP="0095510A">
      <w:pPr>
        <w:pStyle w:val="Heading3"/>
      </w:pPr>
      <w:r>
        <w:t xml:space="preserve">Table </w:t>
      </w:r>
      <w:r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456"/>
        <w:gridCol w:w="3986"/>
        <w:gridCol w:w="3988"/>
      </w:tblGrid>
      <w:tr w:rsidR="0095510A" w:rsidRPr="007E412D" w14:paraId="008DADD4" w14:textId="77777777" w:rsidTr="00CD3AFC">
        <w:tc>
          <w:tcPr>
            <w:tcW w:w="1177" w:type="pct"/>
            <w:tcBorders>
              <w:top w:val="single" w:sz="4" w:space="0" w:color="FFC000"/>
            </w:tcBorders>
            <w:shd w:val="clear" w:color="auto" w:fill="FFF9DD"/>
          </w:tcPr>
          <w:p w14:paraId="57F19B73" w14:textId="77777777" w:rsidR="0095510A" w:rsidRPr="007E412D" w:rsidRDefault="0095510A" w:rsidP="00CD3AFC">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6AE57A32" w14:textId="77777777" w:rsidR="0095510A" w:rsidRPr="007E412D" w:rsidRDefault="0095510A" w:rsidP="00CD3AFC">
            <w:pPr>
              <w:pStyle w:val="Body"/>
            </w:pPr>
          </w:p>
        </w:tc>
      </w:tr>
      <w:tr w:rsidR="0095510A" w:rsidRPr="007E412D" w14:paraId="465DD4F4" w14:textId="77777777" w:rsidTr="00CD3AFC">
        <w:tc>
          <w:tcPr>
            <w:tcW w:w="1177" w:type="pct"/>
            <w:shd w:val="clear" w:color="auto" w:fill="FFF0A9"/>
            <w:vAlign w:val="center"/>
          </w:tcPr>
          <w:p w14:paraId="56525397" w14:textId="77777777" w:rsidR="0095510A" w:rsidRPr="007E412D" w:rsidRDefault="0095510A" w:rsidP="00CD3AFC">
            <w:pPr>
              <w:pStyle w:val="Body"/>
              <w:rPr>
                <w:b/>
                <w:bCs/>
                <w:color w:val="003768"/>
              </w:rPr>
            </w:pPr>
            <w:r w:rsidRPr="007E412D">
              <w:rPr>
                <w:b/>
                <w:bCs/>
                <w:color w:val="003768"/>
              </w:rPr>
              <w:t>The Parties</w:t>
            </w:r>
          </w:p>
        </w:tc>
        <w:tc>
          <w:tcPr>
            <w:tcW w:w="1911" w:type="pct"/>
            <w:shd w:val="clear" w:color="auto" w:fill="FFF0A9"/>
            <w:vAlign w:val="center"/>
          </w:tcPr>
          <w:p w14:paraId="2F5D9CD4" w14:textId="77777777" w:rsidR="0095510A" w:rsidRPr="007E412D" w:rsidRDefault="0095510A" w:rsidP="00CD3AFC">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35562F35" w14:textId="77777777" w:rsidR="0095510A" w:rsidRPr="007E412D" w:rsidRDefault="0095510A" w:rsidP="00CD3AFC">
            <w:pPr>
              <w:pStyle w:val="Body"/>
              <w:rPr>
                <w:b/>
                <w:bCs/>
                <w:color w:val="003768"/>
              </w:rPr>
            </w:pPr>
            <w:r w:rsidRPr="007E412D">
              <w:rPr>
                <w:b/>
                <w:bCs/>
                <w:color w:val="003768"/>
              </w:rPr>
              <w:t>Importer (who receives the Restricted Transfer)</w:t>
            </w:r>
          </w:p>
        </w:tc>
      </w:tr>
      <w:tr w:rsidR="0095510A" w:rsidRPr="007E412D" w14:paraId="175512CB" w14:textId="77777777" w:rsidTr="00CD3AFC">
        <w:tc>
          <w:tcPr>
            <w:tcW w:w="1177" w:type="pct"/>
            <w:shd w:val="clear" w:color="auto" w:fill="FFF9DD"/>
          </w:tcPr>
          <w:p w14:paraId="18BF602C" w14:textId="77777777" w:rsidR="0095510A" w:rsidRPr="007E412D" w:rsidRDefault="0095510A" w:rsidP="00CD3AFC">
            <w:pPr>
              <w:pStyle w:val="Body"/>
              <w:rPr>
                <w:b/>
                <w:bCs/>
                <w:color w:val="003768"/>
              </w:rPr>
            </w:pPr>
            <w:r w:rsidRPr="007E412D">
              <w:rPr>
                <w:b/>
                <w:bCs/>
                <w:color w:val="003768"/>
              </w:rPr>
              <w:t>Parties’ details</w:t>
            </w:r>
          </w:p>
        </w:tc>
        <w:tc>
          <w:tcPr>
            <w:tcW w:w="1911" w:type="pct"/>
          </w:tcPr>
          <w:p w14:paraId="00D92F10" w14:textId="77777777" w:rsidR="0095510A" w:rsidRPr="007E412D" w:rsidRDefault="0095510A" w:rsidP="00CD3AFC">
            <w:pPr>
              <w:pStyle w:val="Body"/>
            </w:pPr>
            <w:r w:rsidRPr="007E412D">
              <w:t>Full legal name:</w:t>
            </w:r>
            <w:r>
              <w:t xml:space="preserve"> </w:t>
            </w:r>
            <w:bookmarkStart w:id="16" w:name="_Hlk93316049"/>
            <w:r w:rsidRPr="001314F2">
              <w:rPr>
                <w:highlight w:val="lightGray"/>
              </w:rPr>
              <w:fldChar w:fldCharType="begin" w:fldLock="1">
                <w:ffData>
                  <w:name w:val="Text2"/>
                  <w:enabled/>
                  <w:calcOnExit w:val="0"/>
                  <w:textInput/>
                </w:ffData>
              </w:fldChar>
            </w:r>
            <w:bookmarkStart w:id="17"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16"/>
            <w:bookmarkEnd w:id="17"/>
          </w:p>
          <w:p w14:paraId="26EF1955" w14:textId="77777777" w:rsidR="0095510A" w:rsidRPr="007E412D" w:rsidRDefault="0095510A" w:rsidP="00CD3AFC">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DABA547" w14:textId="77777777" w:rsidR="0095510A" w:rsidRPr="007E412D" w:rsidRDefault="0095510A" w:rsidP="00CD3AFC">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CF05A23" w14:textId="77777777" w:rsidR="0095510A" w:rsidRPr="007E412D" w:rsidRDefault="0095510A" w:rsidP="00CD3AFC">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2BBEE1DC" w14:textId="4975F4CA" w:rsidR="0095510A" w:rsidRPr="007E412D" w:rsidRDefault="0095510A" w:rsidP="00CD3AFC">
            <w:pPr>
              <w:pStyle w:val="Body"/>
            </w:pPr>
            <w:r w:rsidRPr="007E412D">
              <w:t>Full legal name:</w:t>
            </w:r>
            <w:r>
              <w:t xml:space="preserve"> DNAnexus, Inc.</w:t>
            </w:r>
          </w:p>
          <w:p w14:paraId="54EB7330" w14:textId="51363D24" w:rsidR="0095510A" w:rsidRPr="007E412D" w:rsidRDefault="0095510A" w:rsidP="00CD3AFC">
            <w:pPr>
              <w:pStyle w:val="Body"/>
            </w:pPr>
            <w:r w:rsidRPr="007E412D">
              <w:t>Trading name (if different):</w:t>
            </w:r>
            <w:r>
              <w:t xml:space="preserve"> </w:t>
            </w:r>
          </w:p>
          <w:p w14:paraId="67AED01A" w14:textId="2F4609B3" w:rsidR="0095510A" w:rsidRPr="007E412D" w:rsidRDefault="0095510A" w:rsidP="00CD3AFC">
            <w:pPr>
              <w:pStyle w:val="Body"/>
            </w:pPr>
            <w:r w:rsidRPr="007E412D">
              <w:t>Main address (if a company registered address):</w:t>
            </w:r>
            <w:r>
              <w:t xml:space="preserve"> 1975 W El Camino Real, #204, Mountain View, CA 94040 USA.</w:t>
            </w:r>
          </w:p>
          <w:p w14:paraId="38726337" w14:textId="02E09F02" w:rsidR="0095510A" w:rsidRPr="007E412D" w:rsidRDefault="0095510A" w:rsidP="00CD3AFC">
            <w:pPr>
              <w:pStyle w:val="Body"/>
            </w:pPr>
            <w:r w:rsidRPr="007E412D">
              <w:t>Official registration number (if any) (company number or similar identifier):</w:t>
            </w:r>
            <w:r>
              <w:t xml:space="preserve"> </w:t>
            </w:r>
          </w:p>
        </w:tc>
      </w:tr>
      <w:tr w:rsidR="0095510A" w:rsidRPr="007E412D" w14:paraId="0935015B" w14:textId="77777777" w:rsidTr="00CD3AFC">
        <w:tc>
          <w:tcPr>
            <w:tcW w:w="1177" w:type="pct"/>
            <w:shd w:val="clear" w:color="auto" w:fill="FFF9DD"/>
          </w:tcPr>
          <w:p w14:paraId="35BEB91C" w14:textId="77777777" w:rsidR="0095510A" w:rsidRPr="007E412D" w:rsidRDefault="0095510A" w:rsidP="00CD3AFC">
            <w:pPr>
              <w:pStyle w:val="Body"/>
              <w:rPr>
                <w:b/>
                <w:bCs/>
                <w:color w:val="003768"/>
              </w:rPr>
            </w:pPr>
            <w:r w:rsidRPr="007E412D">
              <w:rPr>
                <w:b/>
                <w:bCs/>
                <w:color w:val="003768"/>
              </w:rPr>
              <w:t>Key Contact</w:t>
            </w:r>
          </w:p>
        </w:tc>
        <w:tc>
          <w:tcPr>
            <w:tcW w:w="1911" w:type="pct"/>
          </w:tcPr>
          <w:p w14:paraId="70D025F6" w14:textId="77777777" w:rsidR="0095510A" w:rsidRPr="007E412D" w:rsidRDefault="0095510A" w:rsidP="00CD3AFC">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C4D3072" w14:textId="77777777" w:rsidR="0095510A" w:rsidRPr="007E412D" w:rsidRDefault="0095510A" w:rsidP="00CD3AFC">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8487CC7" w14:textId="77777777" w:rsidR="0095510A" w:rsidRPr="007E412D" w:rsidRDefault="0095510A" w:rsidP="00CD3AFC">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4FE79F68" w14:textId="0E439AD5" w:rsidR="0095510A" w:rsidRPr="007E412D" w:rsidRDefault="0095510A" w:rsidP="00CD3AFC">
            <w:pPr>
              <w:pStyle w:val="Body"/>
            </w:pPr>
            <w:r w:rsidRPr="007E412D">
              <w:t>Full Name (optional):</w:t>
            </w:r>
            <w:r>
              <w:t xml:space="preserve"> </w:t>
            </w:r>
          </w:p>
          <w:p w14:paraId="03DB2CB4" w14:textId="6B611FC1" w:rsidR="0095510A" w:rsidRPr="007E412D" w:rsidRDefault="0095510A" w:rsidP="00CD3AFC">
            <w:pPr>
              <w:pStyle w:val="Body"/>
            </w:pPr>
            <w:r w:rsidRPr="007E412D">
              <w:t>Job Title:</w:t>
            </w:r>
            <w:r>
              <w:t xml:space="preserve"> </w:t>
            </w:r>
          </w:p>
          <w:p w14:paraId="0A4EB9A7" w14:textId="7C598E70" w:rsidR="0095510A" w:rsidRPr="007E412D" w:rsidRDefault="0095510A" w:rsidP="00CD3AFC">
            <w:pPr>
              <w:pStyle w:val="Body"/>
            </w:pPr>
            <w:r w:rsidRPr="007E412D">
              <w:t>Contact details including email</w:t>
            </w:r>
            <w:r>
              <w:t>: privacy@dnanexus.com</w:t>
            </w:r>
          </w:p>
        </w:tc>
      </w:tr>
      <w:tr w:rsidR="0095510A" w:rsidRPr="007E412D" w14:paraId="2A8FDDA6" w14:textId="77777777" w:rsidTr="00CD3AFC">
        <w:tc>
          <w:tcPr>
            <w:tcW w:w="1177" w:type="pct"/>
            <w:tcBorders>
              <w:bottom w:val="single" w:sz="18" w:space="0" w:color="FFC000"/>
            </w:tcBorders>
            <w:shd w:val="clear" w:color="auto" w:fill="FFF9DD"/>
          </w:tcPr>
          <w:p w14:paraId="5181B0B0" w14:textId="77777777" w:rsidR="0095510A" w:rsidRPr="007E412D" w:rsidRDefault="0095510A" w:rsidP="00CD3AFC">
            <w:pPr>
              <w:pStyle w:val="Body"/>
              <w:rPr>
                <w:b/>
                <w:bCs/>
                <w:color w:val="003768"/>
              </w:rPr>
            </w:pPr>
            <w:r w:rsidRPr="00AF5D93">
              <w:rPr>
                <w:b/>
                <w:bCs/>
                <w:color w:val="003768"/>
              </w:rPr>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7764255A" w14:textId="77777777" w:rsidR="0095510A" w:rsidRPr="007E412D" w:rsidRDefault="0095510A" w:rsidP="00CD3AFC">
            <w:pPr>
              <w:pStyle w:val="Body"/>
            </w:pPr>
          </w:p>
        </w:tc>
        <w:tc>
          <w:tcPr>
            <w:tcW w:w="1912" w:type="pct"/>
            <w:tcBorders>
              <w:bottom w:val="single" w:sz="18" w:space="0" w:color="FFC000"/>
            </w:tcBorders>
          </w:tcPr>
          <w:p w14:paraId="57F9F098" w14:textId="77777777" w:rsidR="0095510A" w:rsidRPr="007E412D" w:rsidRDefault="0095510A" w:rsidP="00CD3AFC">
            <w:pPr>
              <w:pStyle w:val="Body"/>
            </w:pPr>
          </w:p>
        </w:tc>
      </w:tr>
    </w:tbl>
    <w:p w14:paraId="6C36E864" w14:textId="77777777" w:rsidR="0095510A" w:rsidRDefault="0095510A" w:rsidP="0095510A">
      <w:pPr>
        <w:pStyle w:val="Heading3"/>
        <w:jc w:val="both"/>
      </w:pPr>
      <w:r>
        <w:t xml:space="preserve">Table </w:t>
      </w:r>
      <w:r w:rsidRPr="001F67AB">
        <w:t xml:space="preserve">2: </w:t>
      </w:r>
      <w:r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452"/>
        <w:gridCol w:w="7984"/>
      </w:tblGrid>
      <w:tr w:rsidR="0095510A" w:rsidRPr="00D20385" w14:paraId="7BB04105" w14:textId="77777777" w:rsidTr="00CD3AFC">
        <w:tc>
          <w:tcPr>
            <w:tcW w:w="1175" w:type="pct"/>
            <w:shd w:val="clear" w:color="auto" w:fill="FFF9DD"/>
          </w:tcPr>
          <w:p w14:paraId="117E4249" w14:textId="77777777" w:rsidR="0095510A" w:rsidRPr="00F93A69" w:rsidRDefault="0095510A" w:rsidP="00CD3AFC">
            <w:pPr>
              <w:pStyle w:val="Body"/>
              <w:rPr>
                <w:b/>
                <w:bCs/>
                <w:color w:val="003768"/>
              </w:rPr>
            </w:pPr>
            <w:r w:rsidRPr="003779F9">
              <w:rPr>
                <w:b/>
                <w:bCs/>
                <w:color w:val="003768"/>
              </w:rPr>
              <w:t>Addendum EU SCCs</w:t>
            </w:r>
          </w:p>
        </w:tc>
        <w:tc>
          <w:tcPr>
            <w:tcW w:w="3825" w:type="pct"/>
          </w:tcPr>
          <w:p w14:paraId="33C1AB09" w14:textId="77777777" w:rsidR="0095510A" w:rsidRDefault="0095510A" w:rsidP="00CD3AFC">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000000">
              <w:rPr>
                <w:rFonts w:eastAsia="Verdana"/>
              </w:rPr>
            </w:r>
            <w:r w:rsidR="00000000">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27CB3ACF" w14:textId="77777777" w:rsidR="0095510A" w:rsidRPr="00E35ED1" w:rsidRDefault="0095510A" w:rsidP="00CD3AFC">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A9BD611" w14:textId="77777777" w:rsidR="0095510A" w:rsidRDefault="0095510A" w:rsidP="00CD3AFC">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7700CDE" w14:textId="77777777" w:rsidR="0095510A" w:rsidRDefault="0095510A" w:rsidP="00CD3AFC">
            <w:pPr>
              <w:pStyle w:val="Body"/>
            </w:pPr>
            <w:proofErr w:type="gramStart"/>
            <w:r>
              <w:t>Other</w:t>
            </w:r>
            <w:proofErr w:type="gramEnd"/>
            <w:r>
              <w:t xml:space="preserve">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0AA4716" w14:textId="77777777" w:rsidR="0095510A" w:rsidRPr="00E35ED1" w:rsidRDefault="0095510A" w:rsidP="00CD3AFC">
            <w:pPr>
              <w:pStyle w:val="Body"/>
            </w:pPr>
            <w:r>
              <w:t>Or</w:t>
            </w:r>
          </w:p>
          <w:p w14:paraId="4F75F7CD" w14:textId="77777777" w:rsidR="0095510A" w:rsidRPr="00D20385" w:rsidRDefault="0095510A" w:rsidP="00CD3AFC">
            <w:pPr>
              <w:pStyle w:val="Bodyindent"/>
            </w:pPr>
            <w:r w:rsidRPr="00E35ED1">
              <w:rPr>
                <w:rFonts w:eastAsia="Verdana"/>
              </w:rPr>
              <w:lastRenderedPageBreak/>
              <w:fldChar w:fldCharType="begin" w:fldLock="1">
                <w:ffData>
                  <w:name w:val=""/>
                  <w:enabled/>
                  <w:calcOnExit w:val="0"/>
                  <w:checkBox>
                    <w:size w:val="16"/>
                    <w:default w:val="0"/>
                  </w:checkBox>
                </w:ffData>
              </w:fldChar>
            </w:r>
            <w:r w:rsidRPr="00DA4D68">
              <w:rPr>
                <w:rFonts w:eastAsia="Verdana"/>
              </w:rPr>
              <w:instrText xml:space="preserve"> FORMCHECKBOX </w:instrText>
            </w:r>
            <w:r w:rsidR="00000000">
              <w:rPr>
                <w:rFonts w:eastAsia="Verdana"/>
              </w:rPr>
            </w:r>
            <w:r w:rsidR="00000000">
              <w:rPr>
                <w:rFonts w:eastAsia="Verdana"/>
              </w:rPr>
              <w:fldChar w:fldCharType="separate"/>
            </w:r>
            <w:r w:rsidRPr="00E35ED1">
              <w:rPr>
                <w:rFonts w:eastAsia="Verdana"/>
              </w:rPr>
              <w:fldChar w:fldCharType="end"/>
            </w:r>
            <w:r>
              <w:rPr>
                <w:rFonts w:eastAsia="Verdana"/>
              </w:rPr>
              <w:t xml:space="preserve"> the Approved EU SCCs, including the Appendix Information and with only the </w:t>
            </w:r>
            <w:r w:rsidRPr="00427966">
              <w:t xml:space="preserve">following </w:t>
            </w:r>
            <w:r w:rsidRPr="00AD536D">
              <w:t>modules</w:t>
            </w:r>
            <w:r w:rsidRPr="00427966">
              <w:t>, clauses or optional provisions of the Approved EU SCCs</w:t>
            </w:r>
            <w:r>
              <w:t xml:space="preserve"> brought into effect for the purposes of this Addendum:</w:t>
            </w:r>
            <w:r w:rsidRPr="00427966">
              <w:t xml:space="preserve"> </w:t>
            </w:r>
          </w:p>
        </w:tc>
      </w:tr>
    </w:tbl>
    <w:tbl>
      <w:tblPr>
        <w:tblStyle w:val="TableGrid"/>
        <w:tblW w:w="10525"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547"/>
        <w:gridCol w:w="810"/>
        <w:gridCol w:w="3510"/>
      </w:tblGrid>
      <w:tr w:rsidR="0095510A" w14:paraId="649D2D33" w14:textId="77777777" w:rsidTr="002A1DDD">
        <w:tc>
          <w:tcPr>
            <w:tcW w:w="988" w:type="dxa"/>
            <w:tcBorders>
              <w:top w:val="single" w:sz="4" w:space="0" w:color="FFC000"/>
            </w:tcBorders>
          </w:tcPr>
          <w:p w14:paraId="33BB5CF2" w14:textId="77777777" w:rsidR="0095510A" w:rsidRPr="00C02C8A" w:rsidRDefault="0095510A" w:rsidP="0095510A">
            <w:pPr>
              <w:pStyle w:val="Body"/>
            </w:pPr>
            <w:r w:rsidRPr="00C02C8A">
              <w:lastRenderedPageBreak/>
              <w:t>Module</w:t>
            </w:r>
          </w:p>
        </w:tc>
        <w:tc>
          <w:tcPr>
            <w:tcW w:w="1223" w:type="dxa"/>
            <w:tcBorders>
              <w:top w:val="single" w:sz="4" w:space="0" w:color="FFC000"/>
            </w:tcBorders>
          </w:tcPr>
          <w:p w14:paraId="35E97AC5" w14:textId="77777777" w:rsidR="0095510A" w:rsidRPr="00C02C8A" w:rsidRDefault="0095510A" w:rsidP="0095510A">
            <w:pPr>
              <w:pStyle w:val="Body"/>
            </w:pPr>
            <w:r w:rsidRPr="00C02C8A">
              <w:t>Module in operation</w:t>
            </w:r>
          </w:p>
        </w:tc>
        <w:tc>
          <w:tcPr>
            <w:tcW w:w="1224" w:type="dxa"/>
            <w:tcBorders>
              <w:top w:val="single" w:sz="4" w:space="0" w:color="FFC000"/>
            </w:tcBorders>
          </w:tcPr>
          <w:p w14:paraId="59179CA6" w14:textId="77777777" w:rsidR="0095510A" w:rsidRPr="00C02C8A" w:rsidRDefault="0095510A" w:rsidP="0095510A">
            <w:pPr>
              <w:pStyle w:val="Body"/>
            </w:pPr>
            <w:r w:rsidRPr="00C02C8A">
              <w:t>Clause 7 (Docking Clause)</w:t>
            </w:r>
          </w:p>
        </w:tc>
        <w:tc>
          <w:tcPr>
            <w:tcW w:w="1223" w:type="dxa"/>
            <w:tcBorders>
              <w:top w:val="single" w:sz="4" w:space="0" w:color="FFC000"/>
            </w:tcBorders>
          </w:tcPr>
          <w:p w14:paraId="79E17846" w14:textId="77777777" w:rsidR="0095510A" w:rsidRPr="00C02C8A" w:rsidRDefault="0095510A" w:rsidP="0095510A">
            <w:pPr>
              <w:pStyle w:val="Body"/>
            </w:pPr>
            <w:r w:rsidRPr="00C02C8A">
              <w:t xml:space="preserve">Clause 11 </w:t>
            </w:r>
            <w:r>
              <w:br/>
              <w:t>(Option)</w:t>
            </w:r>
          </w:p>
        </w:tc>
        <w:tc>
          <w:tcPr>
            <w:tcW w:w="1547" w:type="dxa"/>
            <w:tcBorders>
              <w:top w:val="single" w:sz="4" w:space="0" w:color="FFC000"/>
            </w:tcBorders>
          </w:tcPr>
          <w:p w14:paraId="59D00BD1" w14:textId="77777777" w:rsidR="0095510A" w:rsidRPr="00C02C8A" w:rsidRDefault="0095510A" w:rsidP="0095510A">
            <w:pPr>
              <w:pStyle w:val="Body"/>
            </w:pPr>
            <w:r w:rsidRPr="00C02C8A">
              <w:t xml:space="preserve">Clause 9a (Prior </w:t>
            </w:r>
            <w:proofErr w:type="spellStart"/>
            <w:r w:rsidRPr="00C02C8A">
              <w:t>Authorisation</w:t>
            </w:r>
            <w:proofErr w:type="spellEnd"/>
            <w:r w:rsidRPr="00C02C8A">
              <w:t xml:space="preserve"> or General </w:t>
            </w:r>
            <w:proofErr w:type="spellStart"/>
            <w:r w:rsidRPr="00C02C8A">
              <w:t>Authorisation</w:t>
            </w:r>
            <w:proofErr w:type="spellEnd"/>
            <w:r w:rsidRPr="00C02C8A">
              <w:t>)</w:t>
            </w:r>
          </w:p>
        </w:tc>
        <w:tc>
          <w:tcPr>
            <w:tcW w:w="810" w:type="dxa"/>
            <w:tcBorders>
              <w:top w:val="single" w:sz="4" w:space="0" w:color="FFC000"/>
            </w:tcBorders>
          </w:tcPr>
          <w:p w14:paraId="1D622A78" w14:textId="77777777" w:rsidR="0095510A" w:rsidRPr="00C02C8A" w:rsidRDefault="0095510A" w:rsidP="0095510A">
            <w:pPr>
              <w:pStyle w:val="Body"/>
            </w:pPr>
            <w:r w:rsidRPr="00C02C8A">
              <w:t>Clause 9a (Time period)</w:t>
            </w:r>
          </w:p>
        </w:tc>
        <w:tc>
          <w:tcPr>
            <w:tcW w:w="3510" w:type="dxa"/>
            <w:tcBorders>
              <w:top w:val="single" w:sz="4" w:space="0" w:color="FFC000"/>
            </w:tcBorders>
          </w:tcPr>
          <w:p w14:paraId="5A03F364" w14:textId="77777777" w:rsidR="0095510A" w:rsidRPr="00C02C8A" w:rsidRDefault="0095510A" w:rsidP="0095510A">
            <w:pPr>
              <w:pStyle w:val="Body"/>
            </w:pPr>
            <w:r w:rsidRPr="00C02C8A">
              <w:t>Is personal data received from the Importer combined with personal data collected by the Exporter?</w:t>
            </w:r>
          </w:p>
        </w:tc>
      </w:tr>
      <w:tr w:rsidR="0095510A" w14:paraId="4477C02F" w14:textId="77777777" w:rsidTr="002A1DDD">
        <w:tc>
          <w:tcPr>
            <w:tcW w:w="988" w:type="dxa"/>
          </w:tcPr>
          <w:p w14:paraId="7CDBF09D" w14:textId="77777777" w:rsidR="0095510A" w:rsidRDefault="0095510A" w:rsidP="00CD3AFC">
            <w:pPr>
              <w:pStyle w:val="Body"/>
              <w:jc w:val="center"/>
            </w:pPr>
            <w:r>
              <w:t>1</w:t>
            </w:r>
          </w:p>
        </w:tc>
        <w:tc>
          <w:tcPr>
            <w:tcW w:w="1223" w:type="dxa"/>
          </w:tcPr>
          <w:p w14:paraId="1CAAB73D" w14:textId="77777777" w:rsidR="0095510A" w:rsidRPr="00C02C8A" w:rsidRDefault="0095510A" w:rsidP="0095510A">
            <w:pPr>
              <w:pStyle w:val="Body"/>
            </w:pPr>
          </w:p>
        </w:tc>
        <w:tc>
          <w:tcPr>
            <w:tcW w:w="1224" w:type="dxa"/>
          </w:tcPr>
          <w:p w14:paraId="5C4470E8" w14:textId="77777777" w:rsidR="0095510A" w:rsidRPr="00C02C8A" w:rsidRDefault="0095510A" w:rsidP="0095510A">
            <w:pPr>
              <w:pStyle w:val="Body"/>
            </w:pPr>
          </w:p>
        </w:tc>
        <w:tc>
          <w:tcPr>
            <w:tcW w:w="1223" w:type="dxa"/>
          </w:tcPr>
          <w:p w14:paraId="48AC54A4" w14:textId="77777777" w:rsidR="0095510A" w:rsidRPr="00C02C8A" w:rsidRDefault="0095510A" w:rsidP="0095510A">
            <w:pPr>
              <w:pStyle w:val="Body"/>
            </w:pPr>
          </w:p>
        </w:tc>
        <w:tc>
          <w:tcPr>
            <w:tcW w:w="1547" w:type="dxa"/>
            <w:shd w:val="clear" w:color="auto" w:fill="FFF0A9"/>
          </w:tcPr>
          <w:p w14:paraId="1637E1AF" w14:textId="77777777" w:rsidR="0095510A" w:rsidRPr="00C02C8A" w:rsidRDefault="0095510A" w:rsidP="0095510A">
            <w:pPr>
              <w:pStyle w:val="Body"/>
            </w:pPr>
          </w:p>
        </w:tc>
        <w:tc>
          <w:tcPr>
            <w:tcW w:w="810" w:type="dxa"/>
            <w:shd w:val="clear" w:color="auto" w:fill="FFF0A9"/>
          </w:tcPr>
          <w:p w14:paraId="78D9C2B3" w14:textId="77777777" w:rsidR="0095510A" w:rsidRPr="00C02C8A" w:rsidRDefault="0095510A" w:rsidP="0095510A">
            <w:pPr>
              <w:pStyle w:val="Body"/>
            </w:pPr>
          </w:p>
        </w:tc>
        <w:tc>
          <w:tcPr>
            <w:tcW w:w="3510" w:type="dxa"/>
            <w:shd w:val="clear" w:color="auto" w:fill="FFF0A9"/>
          </w:tcPr>
          <w:p w14:paraId="550F3BD8" w14:textId="77777777" w:rsidR="0095510A" w:rsidRPr="00C02C8A" w:rsidRDefault="0095510A" w:rsidP="0095510A">
            <w:pPr>
              <w:pStyle w:val="Body"/>
            </w:pPr>
          </w:p>
        </w:tc>
      </w:tr>
      <w:tr w:rsidR="0095510A" w14:paraId="4666A9FD" w14:textId="77777777" w:rsidTr="002A1DDD">
        <w:tc>
          <w:tcPr>
            <w:tcW w:w="988" w:type="dxa"/>
          </w:tcPr>
          <w:p w14:paraId="4114A86F" w14:textId="77777777" w:rsidR="0095510A" w:rsidRDefault="0095510A" w:rsidP="00CD3AFC">
            <w:pPr>
              <w:pStyle w:val="Body"/>
              <w:jc w:val="center"/>
            </w:pPr>
            <w:r>
              <w:t>2</w:t>
            </w:r>
          </w:p>
        </w:tc>
        <w:tc>
          <w:tcPr>
            <w:tcW w:w="1223" w:type="dxa"/>
          </w:tcPr>
          <w:p w14:paraId="508E909A" w14:textId="77777777" w:rsidR="0095510A" w:rsidRPr="00C02C8A" w:rsidRDefault="0095510A" w:rsidP="0095510A">
            <w:pPr>
              <w:pStyle w:val="Body"/>
            </w:pPr>
          </w:p>
        </w:tc>
        <w:tc>
          <w:tcPr>
            <w:tcW w:w="1224" w:type="dxa"/>
          </w:tcPr>
          <w:p w14:paraId="084E3B77" w14:textId="77777777" w:rsidR="0095510A" w:rsidRPr="00C02C8A" w:rsidRDefault="0095510A" w:rsidP="0095510A">
            <w:pPr>
              <w:pStyle w:val="Body"/>
            </w:pPr>
          </w:p>
        </w:tc>
        <w:tc>
          <w:tcPr>
            <w:tcW w:w="1223" w:type="dxa"/>
          </w:tcPr>
          <w:p w14:paraId="3C4BFDB3" w14:textId="77777777" w:rsidR="0095510A" w:rsidRPr="00C02C8A" w:rsidRDefault="0095510A" w:rsidP="0095510A">
            <w:pPr>
              <w:pStyle w:val="Body"/>
            </w:pPr>
          </w:p>
        </w:tc>
        <w:tc>
          <w:tcPr>
            <w:tcW w:w="1547" w:type="dxa"/>
          </w:tcPr>
          <w:p w14:paraId="4A50A214" w14:textId="77777777" w:rsidR="0095510A" w:rsidRPr="00C02C8A" w:rsidRDefault="0095510A" w:rsidP="0095510A">
            <w:pPr>
              <w:pStyle w:val="Body"/>
            </w:pPr>
          </w:p>
        </w:tc>
        <w:tc>
          <w:tcPr>
            <w:tcW w:w="810" w:type="dxa"/>
          </w:tcPr>
          <w:p w14:paraId="1266C23E" w14:textId="77777777" w:rsidR="0095510A" w:rsidRPr="00C02C8A" w:rsidRDefault="0095510A" w:rsidP="0095510A">
            <w:pPr>
              <w:pStyle w:val="Body"/>
            </w:pPr>
          </w:p>
        </w:tc>
        <w:tc>
          <w:tcPr>
            <w:tcW w:w="3510" w:type="dxa"/>
            <w:shd w:val="clear" w:color="auto" w:fill="FFF0A9"/>
          </w:tcPr>
          <w:p w14:paraId="0B368A5C" w14:textId="77777777" w:rsidR="0095510A" w:rsidRPr="00C02C8A" w:rsidRDefault="0095510A" w:rsidP="0095510A">
            <w:pPr>
              <w:pStyle w:val="Body"/>
            </w:pPr>
          </w:p>
        </w:tc>
      </w:tr>
      <w:tr w:rsidR="0095510A" w14:paraId="40B7E022" w14:textId="77777777" w:rsidTr="002A1DDD">
        <w:tc>
          <w:tcPr>
            <w:tcW w:w="988" w:type="dxa"/>
          </w:tcPr>
          <w:p w14:paraId="6B941C15" w14:textId="77777777" w:rsidR="0095510A" w:rsidRDefault="0095510A" w:rsidP="00CD3AFC">
            <w:pPr>
              <w:pStyle w:val="Body"/>
              <w:jc w:val="center"/>
            </w:pPr>
            <w:r>
              <w:t>3</w:t>
            </w:r>
          </w:p>
        </w:tc>
        <w:tc>
          <w:tcPr>
            <w:tcW w:w="1223" w:type="dxa"/>
          </w:tcPr>
          <w:p w14:paraId="2C065548" w14:textId="77777777" w:rsidR="0095510A" w:rsidRPr="00C02C8A" w:rsidRDefault="0095510A" w:rsidP="0095510A">
            <w:pPr>
              <w:pStyle w:val="Body"/>
            </w:pPr>
          </w:p>
        </w:tc>
        <w:tc>
          <w:tcPr>
            <w:tcW w:w="1224" w:type="dxa"/>
          </w:tcPr>
          <w:p w14:paraId="0A02642E" w14:textId="77777777" w:rsidR="0095510A" w:rsidRPr="00C02C8A" w:rsidRDefault="0095510A" w:rsidP="0095510A">
            <w:pPr>
              <w:pStyle w:val="Body"/>
            </w:pPr>
          </w:p>
        </w:tc>
        <w:tc>
          <w:tcPr>
            <w:tcW w:w="1223" w:type="dxa"/>
          </w:tcPr>
          <w:p w14:paraId="18C9F4F5" w14:textId="77777777" w:rsidR="0095510A" w:rsidRPr="00C02C8A" w:rsidRDefault="0095510A" w:rsidP="0095510A">
            <w:pPr>
              <w:pStyle w:val="Body"/>
            </w:pPr>
          </w:p>
        </w:tc>
        <w:tc>
          <w:tcPr>
            <w:tcW w:w="1547" w:type="dxa"/>
          </w:tcPr>
          <w:p w14:paraId="16C70FFB" w14:textId="77777777" w:rsidR="0095510A" w:rsidRPr="00C02C8A" w:rsidRDefault="0095510A" w:rsidP="0095510A">
            <w:pPr>
              <w:pStyle w:val="Body"/>
            </w:pPr>
          </w:p>
        </w:tc>
        <w:tc>
          <w:tcPr>
            <w:tcW w:w="810" w:type="dxa"/>
          </w:tcPr>
          <w:p w14:paraId="6DBCD3C4" w14:textId="77777777" w:rsidR="0095510A" w:rsidRPr="00C02C8A" w:rsidRDefault="0095510A" w:rsidP="0095510A">
            <w:pPr>
              <w:pStyle w:val="Body"/>
            </w:pPr>
          </w:p>
        </w:tc>
        <w:tc>
          <w:tcPr>
            <w:tcW w:w="3510" w:type="dxa"/>
            <w:shd w:val="clear" w:color="auto" w:fill="FFF0A9"/>
          </w:tcPr>
          <w:p w14:paraId="00150044" w14:textId="77777777" w:rsidR="0095510A" w:rsidRPr="00C02C8A" w:rsidRDefault="0095510A" w:rsidP="0095510A">
            <w:pPr>
              <w:pStyle w:val="Body"/>
            </w:pPr>
          </w:p>
        </w:tc>
      </w:tr>
      <w:tr w:rsidR="0095510A" w14:paraId="0D5E3863" w14:textId="77777777" w:rsidTr="002A1DDD">
        <w:tc>
          <w:tcPr>
            <w:tcW w:w="988" w:type="dxa"/>
            <w:tcBorders>
              <w:bottom w:val="single" w:sz="18" w:space="0" w:color="FFC000"/>
            </w:tcBorders>
          </w:tcPr>
          <w:p w14:paraId="691E515E" w14:textId="77777777" w:rsidR="0095510A" w:rsidRDefault="0095510A" w:rsidP="00CD3AFC">
            <w:pPr>
              <w:pStyle w:val="Body"/>
              <w:jc w:val="center"/>
            </w:pPr>
            <w:r>
              <w:t>4</w:t>
            </w:r>
          </w:p>
        </w:tc>
        <w:tc>
          <w:tcPr>
            <w:tcW w:w="1223" w:type="dxa"/>
            <w:tcBorders>
              <w:bottom w:val="single" w:sz="18" w:space="0" w:color="FFC000"/>
            </w:tcBorders>
          </w:tcPr>
          <w:p w14:paraId="4B246288" w14:textId="77777777" w:rsidR="0095510A" w:rsidRDefault="0095510A" w:rsidP="0095510A">
            <w:pPr>
              <w:pStyle w:val="Body"/>
            </w:pPr>
          </w:p>
        </w:tc>
        <w:tc>
          <w:tcPr>
            <w:tcW w:w="1224" w:type="dxa"/>
            <w:tcBorders>
              <w:bottom w:val="single" w:sz="18" w:space="0" w:color="FFC000"/>
            </w:tcBorders>
          </w:tcPr>
          <w:p w14:paraId="4DE4DE03" w14:textId="77777777" w:rsidR="0095510A" w:rsidRDefault="0095510A" w:rsidP="0095510A">
            <w:pPr>
              <w:pStyle w:val="Body"/>
            </w:pPr>
          </w:p>
        </w:tc>
        <w:tc>
          <w:tcPr>
            <w:tcW w:w="1223" w:type="dxa"/>
            <w:tcBorders>
              <w:bottom w:val="single" w:sz="18" w:space="0" w:color="FFC000"/>
            </w:tcBorders>
          </w:tcPr>
          <w:p w14:paraId="6025F46D" w14:textId="77777777" w:rsidR="0095510A" w:rsidRDefault="0095510A" w:rsidP="0095510A">
            <w:pPr>
              <w:pStyle w:val="Body"/>
            </w:pPr>
          </w:p>
        </w:tc>
        <w:tc>
          <w:tcPr>
            <w:tcW w:w="1547" w:type="dxa"/>
            <w:tcBorders>
              <w:bottom w:val="single" w:sz="18" w:space="0" w:color="FFC000"/>
            </w:tcBorders>
            <w:shd w:val="clear" w:color="auto" w:fill="FFF0A9"/>
          </w:tcPr>
          <w:p w14:paraId="2B1EE38C" w14:textId="77777777" w:rsidR="0095510A" w:rsidRDefault="0095510A" w:rsidP="0095510A">
            <w:pPr>
              <w:pStyle w:val="Body"/>
            </w:pPr>
          </w:p>
        </w:tc>
        <w:tc>
          <w:tcPr>
            <w:tcW w:w="810" w:type="dxa"/>
            <w:tcBorders>
              <w:bottom w:val="single" w:sz="18" w:space="0" w:color="FFC000"/>
            </w:tcBorders>
            <w:shd w:val="clear" w:color="auto" w:fill="FFF0A9"/>
          </w:tcPr>
          <w:p w14:paraId="5B0C458E" w14:textId="77777777" w:rsidR="0095510A" w:rsidRDefault="0095510A" w:rsidP="0095510A">
            <w:pPr>
              <w:pStyle w:val="Body"/>
            </w:pPr>
          </w:p>
        </w:tc>
        <w:tc>
          <w:tcPr>
            <w:tcW w:w="3510" w:type="dxa"/>
            <w:tcBorders>
              <w:bottom w:val="single" w:sz="18" w:space="0" w:color="FFC000"/>
            </w:tcBorders>
          </w:tcPr>
          <w:p w14:paraId="00D52E4F" w14:textId="77777777" w:rsidR="0095510A" w:rsidRDefault="0095510A" w:rsidP="0095510A">
            <w:pPr>
              <w:pStyle w:val="Body"/>
            </w:pPr>
          </w:p>
        </w:tc>
      </w:tr>
    </w:tbl>
    <w:p w14:paraId="72A5DD78" w14:textId="77777777" w:rsidR="0095510A" w:rsidRDefault="0095510A" w:rsidP="0095510A">
      <w:pPr>
        <w:pStyle w:val="Heading3"/>
        <w:jc w:val="both"/>
      </w:pPr>
      <w:r>
        <w:t>Table 3</w:t>
      </w:r>
      <w:r w:rsidRPr="001F67AB">
        <w:t xml:space="preserve">: </w:t>
      </w:r>
      <w:r w:rsidRPr="001B5132">
        <w:t>Appendix Information</w:t>
      </w:r>
    </w:p>
    <w:p w14:paraId="602E3014" w14:textId="77777777" w:rsidR="0095510A" w:rsidRDefault="0095510A" w:rsidP="0095510A">
      <w:r w:rsidRPr="00C021F5">
        <w:t>“</w:t>
      </w:r>
      <w:r w:rsidRPr="00113FF6">
        <w:rPr>
          <w:b/>
          <w:bCs/>
        </w:rPr>
        <w:t>Appendix Information</w:t>
      </w:r>
      <w:r w:rsidRPr="00C021F5">
        <w:t xml:space="preserve">” means the information which must be provided for the </w:t>
      </w:r>
      <w:r w:rsidRPr="00AD536D">
        <w:t>selected modules</w:t>
      </w:r>
      <w:r w:rsidRPr="00C021F5">
        <w:t xml:space="preserve"> as set out in the Appendix of the Approved EU SCCs (other than the Parties), and which for this Addendum is set out in:</w:t>
      </w:r>
    </w:p>
    <w:tbl>
      <w:tblPr>
        <w:tblStyle w:val="TableGrid"/>
        <w:tblW w:w="10530" w:type="dxa"/>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10530"/>
      </w:tblGrid>
      <w:tr w:rsidR="0095510A" w14:paraId="381E1E16" w14:textId="77777777" w:rsidTr="002A1DDD">
        <w:tc>
          <w:tcPr>
            <w:tcW w:w="10530" w:type="dxa"/>
          </w:tcPr>
          <w:p w14:paraId="66F74BA6" w14:textId="77777777" w:rsidR="0095510A" w:rsidRPr="00E6761E" w:rsidRDefault="0095510A" w:rsidP="0095510A">
            <w:pPr>
              <w:pStyle w:val="Body"/>
            </w:pPr>
            <w:r w:rsidRPr="00E6761E">
              <w:t xml:space="preserve">Annex 1A: </w:t>
            </w:r>
            <w:r>
              <w:t xml:space="preserve">List of </w:t>
            </w:r>
            <w:r w:rsidRPr="00E6761E">
              <w:t>Parties</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7F826805" w14:textId="77777777" w:rsidTr="002A1DDD">
        <w:tc>
          <w:tcPr>
            <w:tcW w:w="10530" w:type="dxa"/>
          </w:tcPr>
          <w:p w14:paraId="7674F25A" w14:textId="77777777" w:rsidR="0095510A" w:rsidRPr="00E6761E" w:rsidRDefault="0095510A" w:rsidP="0095510A">
            <w:pPr>
              <w:pStyle w:val="Body"/>
            </w:pPr>
            <w:r w:rsidRPr="00E6761E">
              <w:t>Annex 1B: Description of Transfer</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72EF19A2" w14:textId="77777777" w:rsidTr="002A1DDD">
        <w:tc>
          <w:tcPr>
            <w:tcW w:w="10530" w:type="dxa"/>
          </w:tcPr>
          <w:p w14:paraId="48DD7570" w14:textId="77777777" w:rsidR="0095510A" w:rsidRPr="00E6761E" w:rsidRDefault="0095510A" w:rsidP="0095510A">
            <w:pPr>
              <w:pStyle w:val="Body"/>
            </w:pPr>
            <w:r w:rsidRPr="00E6761E">
              <w:t xml:space="preserve">Annex II: Technical and </w:t>
            </w:r>
            <w:proofErr w:type="spellStart"/>
            <w:r w:rsidRPr="00E6761E">
              <w:t>organisational</w:t>
            </w:r>
            <w:proofErr w:type="spellEnd"/>
            <w:r w:rsidRPr="00E6761E">
              <w:t xml:space="preserve"> measures including technical and </w:t>
            </w:r>
            <w:proofErr w:type="spellStart"/>
            <w:r w:rsidRPr="00E6761E">
              <w:t>organisational</w:t>
            </w:r>
            <w:proofErr w:type="spellEnd"/>
            <w:r w:rsidRPr="00E6761E">
              <w:t xml:space="preserve"> measures to ensure the security of the data</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95510A" w14:paraId="693C8373" w14:textId="77777777" w:rsidTr="002A1DDD">
        <w:tc>
          <w:tcPr>
            <w:tcW w:w="10530" w:type="dxa"/>
            <w:tcBorders>
              <w:bottom w:val="single" w:sz="18" w:space="0" w:color="FFC000"/>
            </w:tcBorders>
          </w:tcPr>
          <w:p w14:paraId="59B754C9" w14:textId="77777777" w:rsidR="0095510A" w:rsidRPr="00E6761E" w:rsidRDefault="0095510A" w:rsidP="0095510A">
            <w:pPr>
              <w:pStyle w:val="Body"/>
            </w:pPr>
            <w:r w:rsidRPr="00E6761E">
              <w:t>Annex III: List of Sub processors (Modules 2 and 3 only)</w:t>
            </w:r>
            <w:r>
              <w:t xml:space="preserve">: </w:t>
            </w:r>
            <w:r w:rsidRPr="001314F2">
              <w:rPr>
                <w:highlight w:val="lightGray"/>
              </w:rPr>
              <w:fldChar w:fldCharType="begin" w:fldLock="1">
                <w:ffData>
                  <w:name w:val="Text2"/>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bl>
    <w:p w14:paraId="518BCA36" w14:textId="77777777" w:rsidR="0095510A" w:rsidRPr="00AD536D" w:rsidRDefault="0095510A" w:rsidP="0095510A">
      <w:pPr>
        <w:pStyle w:val="Heading3"/>
        <w:jc w:val="both"/>
      </w:pPr>
      <w:r w:rsidRPr="00AD536D">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996"/>
        <w:gridCol w:w="8434"/>
      </w:tblGrid>
      <w:tr w:rsidR="0095510A" w:rsidRPr="009426CA" w14:paraId="1F898CE7" w14:textId="77777777" w:rsidTr="00CD3AFC">
        <w:tc>
          <w:tcPr>
            <w:tcW w:w="957" w:type="pct"/>
            <w:tcBorders>
              <w:bottom w:val="single" w:sz="18" w:space="0" w:color="FFC000"/>
            </w:tcBorders>
            <w:shd w:val="clear" w:color="auto" w:fill="FFF9DD"/>
          </w:tcPr>
          <w:p w14:paraId="7AD967FC" w14:textId="77777777" w:rsidR="0095510A" w:rsidRPr="00AD536D" w:rsidRDefault="0095510A" w:rsidP="0095510A">
            <w:pPr>
              <w:pStyle w:val="Body"/>
              <w:rPr>
                <w:b/>
                <w:bCs/>
                <w:sz w:val="18"/>
                <w:szCs w:val="18"/>
              </w:rPr>
            </w:pPr>
            <w:r w:rsidRPr="00012EE1">
              <w:rPr>
                <w:b/>
                <w:bCs/>
                <w:color w:val="003768"/>
              </w:rPr>
              <w:t>Ending this Addendum when the Approved Addendum changes</w:t>
            </w:r>
          </w:p>
        </w:tc>
        <w:tc>
          <w:tcPr>
            <w:tcW w:w="4043" w:type="pct"/>
            <w:tcBorders>
              <w:bottom w:val="single" w:sz="18" w:space="0" w:color="FFC000"/>
            </w:tcBorders>
          </w:tcPr>
          <w:p w14:paraId="01771DBF" w14:textId="77777777" w:rsidR="0095510A" w:rsidRPr="00012EE1" w:rsidRDefault="0095510A" w:rsidP="0095510A">
            <w:pPr>
              <w:pStyle w:val="Body"/>
            </w:pPr>
            <w:r w:rsidRPr="00012EE1">
              <w:t xml:space="preserve">Which Parties may </w:t>
            </w:r>
            <w:r>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Pr="00012EE1">
              <w:rPr>
                <w:rFonts w:hint="cs"/>
                <w:cs/>
              </w:rPr>
              <w:t>‎</w:t>
            </w:r>
            <w:r w:rsidRPr="00012EE1">
              <w:t>19</w:t>
            </w:r>
            <w:r w:rsidRPr="00012EE1">
              <w:fldChar w:fldCharType="end"/>
            </w:r>
            <w:r w:rsidRPr="00012EE1">
              <w:t>:</w:t>
            </w:r>
          </w:p>
          <w:p w14:paraId="51BCCAC7" w14:textId="77777777" w:rsidR="0095510A" w:rsidRPr="00012EE1" w:rsidRDefault="0095510A" w:rsidP="0095510A">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AD536D">
              <w:t xml:space="preserve"> </w:t>
            </w:r>
            <w:r w:rsidRPr="00012EE1">
              <w:t>Importer</w:t>
            </w:r>
          </w:p>
          <w:p w14:paraId="52BC1C72" w14:textId="77777777" w:rsidR="0095510A" w:rsidRPr="00012EE1" w:rsidRDefault="0095510A" w:rsidP="0095510A">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012EE1">
              <w:t xml:space="preserve"> Exporter</w:t>
            </w:r>
          </w:p>
          <w:p w14:paraId="159C12CA" w14:textId="77777777" w:rsidR="0095510A" w:rsidRPr="0024268B" w:rsidRDefault="0095510A" w:rsidP="0095510A">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000000">
              <w:fldChar w:fldCharType="separate"/>
            </w:r>
            <w:r w:rsidRPr="00AD536D">
              <w:fldChar w:fldCharType="end"/>
            </w:r>
            <w:r w:rsidRPr="00012EE1">
              <w:t xml:space="preserve"> neither Party</w:t>
            </w:r>
          </w:p>
        </w:tc>
      </w:tr>
    </w:tbl>
    <w:p w14:paraId="5DD14E8C" w14:textId="77777777" w:rsidR="001041AA" w:rsidRDefault="001041AA" w:rsidP="002A1DDD">
      <w:pPr>
        <w:spacing w:before="240" w:after="120"/>
        <w:rPr>
          <w:bCs/>
          <w:noProof/>
          <w:sz w:val="24"/>
        </w:rPr>
      </w:pPr>
    </w:p>
    <w:p w14:paraId="633A3A5F" w14:textId="77777777" w:rsidR="00955D27" w:rsidRPr="002A1DDD" w:rsidRDefault="00955D27" w:rsidP="00955D27">
      <w:pPr>
        <w:spacing w:before="240" w:after="120"/>
        <w:jc w:val="center"/>
        <w:rPr>
          <w:bCs/>
          <w:noProof/>
          <w:sz w:val="24"/>
        </w:rPr>
      </w:pPr>
    </w:p>
    <w:p w14:paraId="1A0C45C2" w14:textId="77777777" w:rsidR="009C72E0" w:rsidRDefault="009C72E0" w:rsidP="009C72E0">
      <w:pPr>
        <w:numPr>
          <w:ilvl w:val="1"/>
          <w:numId w:val="0"/>
        </w:numPr>
        <w:spacing w:before="120" w:after="120"/>
        <w:jc w:val="both"/>
        <w:rPr>
          <w:noProof/>
          <w:sz w:val="24"/>
        </w:rPr>
      </w:pPr>
    </w:p>
    <w:p w14:paraId="63DCF54C" w14:textId="77777777" w:rsidR="009C72E0" w:rsidRDefault="009C72E0" w:rsidP="009C72E0">
      <w:pPr>
        <w:rPr>
          <w:noProof/>
          <w:sz w:val="24"/>
        </w:rPr>
      </w:pPr>
    </w:p>
    <w:p w14:paraId="2EBB4BF0" w14:textId="77777777" w:rsidR="009C72E0" w:rsidRDefault="009C72E0" w:rsidP="009C72E0">
      <w:pPr>
        <w:rPr>
          <w:noProof/>
        </w:rPr>
      </w:pPr>
    </w:p>
    <w:p w14:paraId="625CFC2B" w14:textId="77777777" w:rsidR="009C72E0" w:rsidRPr="00CF2612" w:rsidRDefault="009C72E0" w:rsidP="00CF2612">
      <w:pPr>
        <w:pStyle w:val="NormalCentered"/>
        <w:tabs>
          <w:tab w:val="left" w:pos="3969"/>
        </w:tabs>
        <w:jc w:val="left"/>
        <w:rPr>
          <w:noProof/>
          <w:sz w:val="22"/>
        </w:rPr>
      </w:pPr>
    </w:p>
    <w:p w14:paraId="0B7086A0" w14:textId="77777777" w:rsidR="00F00D34" w:rsidRDefault="00F00D34" w:rsidP="002A1DDD">
      <w:pPr>
        <w:pStyle w:val="Annexetitre"/>
        <w:rPr>
          <w:sz w:val="22"/>
        </w:rPr>
      </w:pPr>
      <w:bookmarkStart w:id="18" w:name="_CopyToNewDocument_"/>
      <w:bookmarkEnd w:id="18"/>
    </w:p>
    <w:sectPr w:rsidR="00F00D34">
      <w:headerReference w:type="default" r:id="rId13"/>
      <w:footerReference w:type="default" r:id="rId14"/>
      <w:footerReference w:type="first" r:id="rId15"/>
      <w:pgSz w:w="12240" w:h="15840"/>
      <w:pgMar w:top="800" w:right="900" w:bottom="580" w:left="900" w:header="442" w:footer="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A787" w14:textId="77777777" w:rsidR="00545ACC" w:rsidRDefault="00545ACC">
      <w:r>
        <w:separator/>
      </w:r>
    </w:p>
  </w:endnote>
  <w:endnote w:type="continuationSeparator" w:id="0">
    <w:p w14:paraId="624136FC" w14:textId="77777777" w:rsidR="00545ACC" w:rsidRDefault="00545ACC">
      <w:r>
        <w:continuationSeparator/>
      </w:r>
    </w:p>
  </w:endnote>
  <w:endnote w:type="continuationNotice" w:id="1">
    <w:p w14:paraId="143FD23E" w14:textId="77777777" w:rsidR="00545ACC" w:rsidRDefault="0054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006" w14:textId="5B8C6709" w:rsidR="00CD3AFC" w:rsidRDefault="00545ACC" w:rsidP="00B337AA">
    <w:pPr>
      <w:pStyle w:val="BodyText"/>
      <w:kinsoku w:val="0"/>
      <w:overflowPunct w:val="0"/>
      <w:spacing w:before="0" w:line="14" w:lineRule="auto"/>
      <w:ind w:left="0"/>
      <w:jc w:val="left"/>
      <w:rPr>
        <w:sz w:val="20"/>
        <w:szCs w:val="20"/>
      </w:rPr>
    </w:pPr>
    <w:r>
      <w:rPr>
        <w:noProof/>
      </w:rPr>
      <w:pict w14:anchorId="1ECA5C23">
        <v:shapetype id="_x0000_t202" coordsize="21600,21600" o:spt="202" path="m,l,21600r21600,l21600,xe">
          <v:stroke joinstyle="miter"/>
          <v:path gradientshapeok="t" o:connecttype="rect"/>
        </v:shapetype>
        <v:shape id="_x0000_s1028" type="#_x0000_t202" alt="" style="position:absolute;margin-left:-4.9pt;margin-top:-13.15pt;width:115.45pt;height:32.35pt;z-index:251662848;mso-wrap-style:square;mso-wrap-edited:f;mso-width-percent:0;mso-height-percent:0;mso-width-percent:0;mso-height-percent:0;v-text-anchor:top" stroked="f">
          <v:textbox>
            <w:txbxContent>
              <w:p w14:paraId="543D7352" w14:textId="4459E197" w:rsidR="00CD3AFC" w:rsidRPr="00B337AA" w:rsidRDefault="00CD3AFC">
                <w:pPr>
                  <w:rPr>
                    <w:sz w:val="18"/>
                    <w:szCs w:val="18"/>
                  </w:rPr>
                </w:pPr>
                <w:r w:rsidRPr="00B337AA">
                  <w:rPr>
                    <w:sz w:val="18"/>
                    <w:szCs w:val="18"/>
                  </w:rPr>
                  <w:t>DNAnexus Restricted</w:t>
                </w:r>
                <w:r>
                  <w:rPr>
                    <w:sz w:val="18"/>
                    <w:szCs w:val="18"/>
                  </w:rPr>
                  <w:br/>
                  <w:t>20220319</w:t>
                </w:r>
              </w:p>
            </w:txbxContent>
          </v:textbox>
        </v:shape>
      </w:pict>
    </w:r>
    <w:r>
      <w:rPr>
        <w:noProof/>
      </w:rPr>
      <w:pict w14:anchorId="1F395B9C">
        <v:shape id="_x0000_s1027" type="#_x0000_t202" alt="" style="position:absolute;margin-left:464.6pt;margin-top:761pt;width:98.15pt;height:16.05pt;z-index:-251654656;mso-wrap-style:square;mso-wrap-edited:f;mso-width-percent:0;mso-height-percent:0;mso-position-horizontal-relative:page;mso-position-vertical-relative:page;mso-width-percent:0;mso-height-percent:0;v-text-anchor:top" o:allowincell="f" filled="f" stroked="f">
          <v:textbox inset="0,0,0,0">
            <w:txbxContent>
              <w:p w14:paraId="767C4503" w14:textId="47304495" w:rsidR="00CD3AFC" w:rsidRDefault="00CD3AFC" w:rsidP="00B337AA">
                <w:pPr>
                  <w:pStyle w:val="BodyText"/>
                  <w:kinsoku w:val="0"/>
                  <w:overflowPunct w:val="0"/>
                  <w:spacing w:before="14"/>
                  <w:ind w:left="0"/>
                  <w:jc w:val="left"/>
                  <w:rPr>
                    <w:b/>
                    <w:bCs/>
                    <w:sz w:val="16"/>
                    <w:szCs w:val="16"/>
                  </w:rPr>
                </w:pPr>
                <w:r w:rsidRPr="00B337AA">
                  <w:rPr>
                    <w:b/>
                    <w:bCs/>
                    <w:sz w:val="16"/>
                    <w:szCs w:val="16"/>
                  </w:rPr>
                  <w:t xml:space="preserve">Page </w:t>
                </w:r>
                <w:r w:rsidRPr="00B337AA">
                  <w:rPr>
                    <w:b/>
                    <w:bCs/>
                    <w:sz w:val="16"/>
                    <w:szCs w:val="16"/>
                  </w:rPr>
                  <w:fldChar w:fldCharType="begin"/>
                </w:r>
                <w:r w:rsidRPr="00B337AA">
                  <w:rPr>
                    <w:b/>
                    <w:bCs/>
                    <w:sz w:val="16"/>
                    <w:szCs w:val="16"/>
                  </w:rPr>
                  <w:instrText xml:space="preserve"> PAGE </w:instrText>
                </w:r>
                <w:r w:rsidRPr="00B337AA">
                  <w:rPr>
                    <w:b/>
                    <w:bCs/>
                    <w:sz w:val="16"/>
                    <w:szCs w:val="16"/>
                  </w:rPr>
                  <w:fldChar w:fldCharType="separate"/>
                </w:r>
                <w:r w:rsidR="00B61C5A">
                  <w:rPr>
                    <w:b/>
                    <w:bCs/>
                    <w:noProof/>
                    <w:sz w:val="16"/>
                    <w:szCs w:val="16"/>
                  </w:rPr>
                  <w:t>10</w:t>
                </w:r>
                <w:r w:rsidRPr="00B337AA">
                  <w:rPr>
                    <w:b/>
                    <w:bCs/>
                    <w:sz w:val="16"/>
                    <w:szCs w:val="16"/>
                  </w:rPr>
                  <w:fldChar w:fldCharType="end"/>
                </w:r>
                <w:r>
                  <w:rPr>
                    <w:b/>
                    <w:bCs/>
                    <w:sz w:val="16"/>
                    <w:szCs w:val="16"/>
                  </w:rPr>
                  <w:t xml:space="preserve">  </w:t>
                </w:r>
                <w:r>
                  <w:rPr>
                    <w:sz w:val="16"/>
                    <w:szCs w:val="16"/>
                  </w:rPr>
                  <w:t xml:space="preserve">of </w:t>
                </w:r>
                <w:r>
                  <w:rPr>
                    <w:sz w:val="16"/>
                    <w:szCs w:val="16"/>
                  </w:rPr>
                  <w:fldChar w:fldCharType="begin"/>
                </w:r>
                <w:r>
                  <w:rPr>
                    <w:sz w:val="16"/>
                    <w:szCs w:val="16"/>
                  </w:rPr>
                  <w:instrText xml:space="preserve"> NUMPAGES   \* MERGEFORMAT </w:instrText>
                </w:r>
                <w:r>
                  <w:rPr>
                    <w:sz w:val="16"/>
                    <w:szCs w:val="16"/>
                  </w:rPr>
                  <w:fldChar w:fldCharType="separate"/>
                </w:r>
                <w:r w:rsidR="00B61C5A">
                  <w:rPr>
                    <w:noProof/>
                    <w:sz w:val="16"/>
                    <w:szCs w:val="16"/>
                  </w:rPr>
                  <w:t>20</w:t>
                </w:r>
                <w:r>
                  <w:rPr>
                    <w:sz w:val="16"/>
                    <w:szCs w:val="16"/>
                  </w:rPr>
                  <w:fldChar w:fldCharType="end"/>
                </w:r>
              </w:p>
            </w:txbxContent>
          </v:textbox>
          <w10:wrap anchorx="page" anchory="page"/>
        </v:shape>
      </w:pict>
    </w:r>
  </w:p>
  <w:p w14:paraId="7F32C934" w14:textId="5CECC266" w:rsidR="00CD3AFC" w:rsidRDefault="00545ACC">
    <w:pPr>
      <w:pStyle w:val="BodyText"/>
      <w:kinsoku w:val="0"/>
      <w:overflowPunct w:val="0"/>
      <w:spacing w:before="0" w:line="14" w:lineRule="auto"/>
      <w:ind w:left="0"/>
      <w:jc w:val="left"/>
      <w:rPr>
        <w:sz w:val="20"/>
        <w:szCs w:val="20"/>
      </w:rPr>
    </w:pPr>
    <w:r>
      <w:rPr>
        <w:noProof/>
      </w:rPr>
      <w:pict w14:anchorId="16BF918E">
        <v:shape id="_x0000_s1026" type="#_x0000_t202" alt="" style="position:absolute;margin-left:464.6pt;margin-top:761pt;width:98.15pt;height:16.05pt;z-index:-251658752;mso-wrap-style:square;mso-wrap-edited:f;mso-width-percent:0;mso-height-percent:0;mso-position-horizontal-relative:page;mso-position-vertical-relative:page;mso-width-percent:0;mso-height-percent:0;v-text-anchor:top" o:allowincell="f" filled="f" stroked="f">
          <v:textbox inset="0,0,0,0">
            <w:txbxContent>
              <w:p w14:paraId="6302BB89" w14:textId="21C3E318" w:rsidR="00CD3AFC" w:rsidRDefault="00CD3AFC" w:rsidP="00970097">
                <w:pPr>
                  <w:pStyle w:val="BodyText"/>
                  <w:kinsoku w:val="0"/>
                  <w:overflowPunct w:val="0"/>
                  <w:spacing w:before="14"/>
                  <w:ind w:left="0"/>
                  <w:jc w:val="left"/>
                  <w:rPr>
                    <w:b/>
                    <w:bCs/>
                    <w:sz w:val="16"/>
                    <w:szCs w:val="16"/>
                  </w:rPr>
                </w:pPr>
                <w:r w:rsidRPr="00B337AA">
                  <w:rPr>
                    <w:b/>
                    <w:bCs/>
                    <w:sz w:val="16"/>
                    <w:szCs w:val="16"/>
                  </w:rPr>
                  <w:t xml:space="preserve">Page </w:t>
                </w:r>
                <w:r w:rsidRPr="00B337AA">
                  <w:rPr>
                    <w:b/>
                    <w:bCs/>
                    <w:sz w:val="16"/>
                    <w:szCs w:val="16"/>
                  </w:rPr>
                  <w:fldChar w:fldCharType="begin"/>
                </w:r>
                <w:r w:rsidRPr="00B337AA">
                  <w:rPr>
                    <w:b/>
                    <w:bCs/>
                    <w:sz w:val="16"/>
                    <w:szCs w:val="16"/>
                  </w:rPr>
                  <w:instrText xml:space="preserve"> PAGE </w:instrText>
                </w:r>
                <w:r w:rsidRPr="00B337AA">
                  <w:rPr>
                    <w:b/>
                    <w:bCs/>
                    <w:sz w:val="16"/>
                    <w:szCs w:val="16"/>
                  </w:rPr>
                  <w:fldChar w:fldCharType="separate"/>
                </w:r>
                <w:r w:rsidR="00B61C5A">
                  <w:rPr>
                    <w:b/>
                    <w:bCs/>
                    <w:noProof/>
                    <w:sz w:val="16"/>
                    <w:szCs w:val="16"/>
                  </w:rPr>
                  <w:t>10</w:t>
                </w:r>
                <w:r w:rsidRPr="00B337AA">
                  <w:rPr>
                    <w:b/>
                    <w:bCs/>
                    <w:sz w:val="16"/>
                    <w:szCs w:val="16"/>
                  </w:rPr>
                  <w:fldChar w:fldCharType="end"/>
                </w:r>
                <w:r>
                  <w:rPr>
                    <w:b/>
                    <w:bCs/>
                    <w:sz w:val="16"/>
                    <w:szCs w:val="16"/>
                  </w:rPr>
                  <w:t xml:space="preserve">  </w:t>
                </w:r>
                <w:r>
                  <w:rPr>
                    <w:sz w:val="16"/>
                    <w:szCs w:val="16"/>
                  </w:rPr>
                  <w:t xml:space="preserve">of </w:t>
                </w:r>
                <w:r>
                  <w:rPr>
                    <w:sz w:val="16"/>
                    <w:szCs w:val="16"/>
                  </w:rPr>
                  <w:fldChar w:fldCharType="begin"/>
                </w:r>
                <w:r>
                  <w:rPr>
                    <w:sz w:val="16"/>
                    <w:szCs w:val="16"/>
                  </w:rPr>
                  <w:instrText xml:space="preserve"> NUMPAGES   \* MERGEFORMAT </w:instrText>
                </w:r>
                <w:r>
                  <w:rPr>
                    <w:sz w:val="16"/>
                    <w:szCs w:val="16"/>
                  </w:rPr>
                  <w:fldChar w:fldCharType="separate"/>
                </w:r>
                <w:r w:rsidR="00B61C5A">
                  <w:rPr>
                    <w:noProof/>
                    <w:sz w:val="16"/>
                    <w:szCs w:val="16"/>
                  </w:rPr>
                  <w:t>20</w:t>
                </w:r>
                <w:r>
                  <w:rPr>
                    <w:sz w:val="16"/>
                    <w:szCs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205" w14:textId="77777777" w:rsidR="00CD3AFC" w:rsidRDefault="00545ACC">
    <w:pPr>
      <w:pStyle w:val="Footer"/>
    </w:pPr>
    <w:r>
      <w:rPr>
        <w:noProof/>
      </w:rPr>
      <w:pict w14:anchorId="3F95D98D">
        <v:shapetype id="_x0000_t202" coordsize="21600,21600" o:spt="202" path="m,l,21600r21600,l21600,xe">
          <v:stroke joinstyle="miter"/>
          <v:path gradientshapeok="t" o:connecttype="rect"/>
        </v:shapetype>
        <v:shape id="Text Box 1" o:spid="_x0000_s1025" type="#_x0000_t202" style="position:absolute;margin-left:0;margin-top:0;width:130.85pt;height:18.4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" filled="f" stroked="f">
          <v:textbox style="mso-fit-shape-to-text:t" inset="0,0,0,0">
            <w:txbxContent>
              <w:p w14:paraId="7FD9E46E" w14:textId="77777777" w:rsidR="00CD3AFC" w:rsidRDefault="00CD3AFC">
                <w:pPr>
                  <w:pStyle w:val="MacPacTrailer"/>
                </w:pPr>
                <w:r>
                  <w:t xml:space="preserve">ACTIVE/104766768.1  </w:t>
                </w:r>
              </w:p>
              <w:p w14:paraId="651D448C" w14:textId="77777777" w:rsidR="00CD3AFC" w:rsidRDefault="00CD3AF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FCF3" w14:textId="77777777" w:rsidR="00545ACC" w:rsidRDefault="00545ACC">
      <w:r>
        <w:separator/>
      </w:r>
    </w:p>
  </w:footnote>
  <w:footnote w:type="continuationSeparator" w:id="0">
    <w:p w14:paraId="3958F703" w14:textId="77777777" w:rsidR="00545ACC" w:rsidRDefault="00545ACC">
      <w:r>
        <w:continuationSeparator/>
      </w:r>
    </w:p>
  </w:footnote>
  <w:footnote w:type="continuationNotice" w:id="1">
    <w:p w14:paraId="67A17A33" w14:textId="77777777" w:rsidR="00545ACC" w:rsidRDefault="00545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C83" w14:textId="77777777" w:rsidR="00CD3AFC" w:rsidRDefault="00545ACC">
    <w:pPr>
      <w:pStyle w:val="BodyText"/>
      <w:kinsoku w:val="0"/>
      <w:overflowPunct w:val="0"/>
      <w:spacing w:before="0" w:line="14" w:lineRule="auto"/>
      <w:ind w:left="0"/>
      <w:jc w:val="left"/>
      <w:rPr>
        <w:sz w:val="20"/>
        <w:szCs w:val="20"/>
      </w:rPr>
    </w:pPr>
    <w:r>
      <w:rPr>
        <w:noProof/>
      </w:rPr>
      <w:pict w14:anchorId="6D933785">
        <v:shapetype id="_x0000_t202" coordsize="21600,21600" o:spt="202" path="m,l,21600r21600,l21600,xe">
          <v:stroke joinstyle="miter"/>
          <v:path gradientshapeok="t" o:connecttype="rect"/>
        </v:shapetype>
        <v:shape id="_x0000_s1029" type="#_x0000_t202" alt="" style="position:absolute;margin-left:501.55pt;margin-top:21.1pt;width:63.4pt;height:13.05pt;z-index:-251660800;mso-wrap-style:square;mso-wrap-edited:f;mso-width-percent:0;mso-height-percent:0;mso-position-horizontal-relative:page;mso-position-vertical-relative:page;mso-width-percent:0;mso-height-percent:0;v-text-anchor:top" o:allowincell="f" filled="f" stroked="f">
          <v:textbox inset="0,0,0,0">
            <w:txbxContent>
              <w:p w14:paraId="1C27608D" w14:textId="77777777" w:rsidR="00CD3AFC" w:rsidRDefault="00CD3AFC">
                <w:pPr>
                  <w:pStyle w:val="BodyText"/>
                  <w:kinsoku w:val="0"/>
                  <w:overflowPunct w:val="0"/>
                  <w:spacing w:before="10"/>
                  <w:ind w:left="20"/>
                  <w:jc w:val="left"/>
                  <w:rPr>
                    <w:w w:val="99"/>
                    <w:sz w:val="20"/>
                    <w:szCs w:val="20"/>
                  </w:rPr>
                </w:pPr>
                <w:r>
                  <w:rPr>
                    <w:sz w:val="20"/>
                    <w:szCs w:val="20"/>
                  </w:rPr>
                  <w:t xml:space="preserve">Attachment </w:t>
                </w:r>
                <w:r>
                  <w:rPr>
                    <w:w w:val="99"/>
                    <w:sz w:val="20"/>
                    <w:szCs w:val="20"/>
                    <w:u w:val="single"/>
                  </w:rPr>
                  <w:t xml:space="preserve"> </w:t>
                </w:r>
                <w:r>
                  <w:rPr>
                    <w:sz w:val="20"/>
                    <w:szCs w:val="20"/>
                    <w:u w:val="single"/>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1" w15:restartNumberingAfterBreak="0">
    <w:nsid w:val="08153C4E"/>
    <w:multiLevelType w:val="hybridMultilevel"/>
    <w:tmpl w:val="5A3E57BC"/>
    <w:lvl w:ilvl="0" w:tplc="2A94CBBE">
      <w:start w:val="1"/>
      <w:numFmt w:val="lowerLetter"/>
      <w:lvlText w:val="(%1)"/>
      <w:lvlJc w:val="left"/>
      <w:pPr>
        <w:ind w:left="720" w:hanging="360"/>
      </w:pPr>
      <w:rPr>
        <w:rFonts w:ascii="Times New Roman" w:eastAsia="Cambria" w:hAnsi="Times New Roman" w:cs="Times New Roman" w:hint="default"/>
        <w:w w:val="76"/>
        <w:sz w:val="22"/>
        <w:szCs w:val="22"/>
        <w:lang w:val="en-US" w:eastAsia="en-US" w:bidi="en-US"/>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2" w15:restartNumberingAfterBreak="0">
    <w:nsid w:val="0F0E39BB"/>
    <w:multiLevelType w:val="hybridMultilevel"/>
    <w:tmpl w:val="3AC879AA"/>
    <w:lvl w:ilvl="0" w:tplc="70443A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6343D"/>
    <w:multiLevelType w:val="hybridMultilevel"/>
    <w:tmpl w:val="8A7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D44FB6"/>
    <w:multiLevelType w:val="hybridMultilevel"/>
    <w:tmpl w:val="C304E67C"/>
    <w:lvl w:ilvl="0" w:tplc="7E7CD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42EC"/>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7" w15:restartNumberingAfterBreak="0">
    <w:nsid w:val="27326CBA"/>
    <w:multiLevelType w:val="hybridMultilevel"/>
    <w:tmpl w:val="C0EA883A"/>
    <w:lvl w:ilvl="0" w:tplc="07C8DE6E">
      <w:start w:val="1"/>
      <w:numFmt w:val="lowerRoman"/>
      <w:lvlText w:val="(%1)"/>
      <w:lvlJc w:val="left"/>
      <w:pPr>
        <w:ind w:left="2160" w:hanging="360"/>
      </w:pPr>
      <w:rPr>
        <w:rFonts w:ascii="Cambria" w:eastAsia="Cambria" w:hAnsi="Cambria" w:cs="Cambria" w:hint="default"/>
        <w:w w:val="74"/>
        <w:sz w:val="19"/>
        <w:szCs w:val="19"/>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0865D4"/>
    <w:multiLevelType w:val="multilevel"/>
    <w:tmpl w:val="91B2E616"/>
    <w:lvl w:ilvl="0">
      <w:start w:val="1"/>
      <w:numFmt w:val="decimal"/>
      <w:lvlText w:val="%1."/>
      <w:lvlJc w:val="left"/>
      <w:pPr>
        <w:ind w:left="828" w:hanging="721"/>
      </w:pPr>
      <w:rPr>
        <w:rFonts w:ascii="Times New Roman" w:hAnsi="Times New Roman" w:cs="Times New Roman"/>
        <w:b/>
        <w:bCs/>
        <w:w w:val="100"/>
        <w:sz w:val="22"/>
        <w:szCs w:val="22"/>
      </w:rPr>
    </w:lvl>
    <w:lvl w:ilvl="1">
      <w:start w:val="1"/>
      <w:numFmt w:val="decimal"/>
      <w:lvlText w:val="%1.%2"/>
      <w:lvlJc w:val="left"/>
      <w:pPr>
        <w:ind w:left="108" w:hanging="721"/>
      </w:pPr>
      <w:rPr>
        <w:rFonts w:ascii="Times New Roman" w:hAnsi="Times New Roman" w:cs="Times New Roman"/>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lvl>
    <w:lvl w:ilvl="4">
      <w:start w:val="1"/>
      <w:numFmt w:val="lowerRoman"/>
      <w:lvlText w:val="%5)"/>
      <w:lvlJc w:val="left"/>
      <w:pPr>
        <w:ind w:left="2865" w:hanging="360"/>
      </w:pPr>
      <w:rPr>
        <w:rFonts w:hint="default"/>
      </w:rPr>
    </w:lvl>
    <w:lvl w:ilvl="5">
      <w:numFmt w:val="bullet"/>
      <w:lvlText w:val="•"/>
      <w:lvlJc w:val="left"/>
      <w:pPr>
        <w:ind w:left="4427" w:hanging="720"/>
      </w:pPr>
    </w:lvl>
    <w:lvl w:ilvl="6">
      <w:numFmt w:val="bullet"/>
      <w:lvlText w:val="•"/>
      <w:lvlJc w:val="left"/>
      <w:pPr>
        <w:ind w:left="5630" w:hanging="720"/>
      </w:pPr>
    </w:lvl>
    <w:lvl w:ilvl="7">
      <w:numFmt w:val="bullet"/>
      <w:lvlText w:val="•"/>
      <w:lvlJc w:val="left"/>
      <w:pPr>
        <w:ind w:left="6832" w:hanging="720"/>
      </w:pPr>
    </w:lvl>
    <w:lvl w:ilvl="8">
      <w:numFmt w:val="bullet"/>
      <w:lvlText w:val="•"/>
      <w:lvlJc w:val="left"/>
      <w:pPr>
        <w:ind w:left="8035" w:hanging="720"/>
      </w:pPr>
    </w:lvl>
  </w:abstractNum>
  <w:abstractNum w:abstractNumId="9" w15:restartNumberingAfterBreak="0">
    <w:nsid w:val="2E0520EC"/>
    <w:multiLevelType w:val="multilevel"/>
    <w:tmpl w:val="AFCCB87C"/>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2"/>
      <w:numFmt w:val="decimal"/>
      <w:lvlText w:val="%3)"/>
      <w:lvlJc w:val="left"/>
      <w:pPr>
        <w:ind w:left="468" w:hanging="360"/>
      </w:pPr>
      <w:rPr>
        <w:rFonts w:hint="default"/>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0"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CEC5E5E"/>
    <w:multiLevelType w:val="multilevel"/>
    <w:tmpl w:val="937C67A4"/>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2" w15:restartNumberingAfterBreak="0">
    <w:nsid w:val="3D7E49F5"/>
    <w:multiLevelType w:val="hybridMultilevel"/>
    <w:tmpl w:val="0F7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DA7D76"/>
    <w:multiLevelType w:val="hybridMultilevel"/>
    <w:tmpl w:val="5A3E57BC"/>
    <w:lvl w:ilvl="0" w:tplc="2A94CBBE">
      <w:start w:val="1"/>
      <w:numFmt w:val="lowerLetter"/>
      <w:lvlText w:val="(%1)"/>
      <w:lvlJc w:val="left"/>
      <w:pPr>
        <w:ind w:left="720" w:hanging="360"/>
      </w:pPr>
      <w:rPr>
        <w:rFonts w:ascii="Times New Roman" w:eastAsia="Cambria" w:hAnsi="Times New Roman" w:cs="Times New Roman" w:hint="default"/>
        <w:w w:val="76"/>
        <w:sz w:val="22"/>
        <w:szCs w:val="22"/>
        <w:lang w:val="en-US" w:eastAsia="en-US" w:bidi="en-US"/>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15" w15:restartNumberingAfterBreak="0">
    <w:nsid w:val="4712340F"/>
    <w:multiLevelType w:val="hybridMultilevel"/>
    <w:tmpl w:val="BF70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D1F7E"/>
    <w:multiLevelType w:val="multilevel"/>
    <w:tmpl w:val="F4E47AD4"/>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lowerLetter"/>
      <w:lvlText w:val="%3)"/>
      <w:lvlJc w:val="left"/>
      <w:pPr>
        <w:ind w:left="468" w:hanging="360"/>
      </w:pPr>
      <w:rPr>
        <w:rFonts w:hint="default"/>
        <w:b w:val="0"/>
        <w:bCs w:val="0"/>
        <w:spacing w:val="-2"/>
        <w:w w:val="100"/>
        <w:sz w:val="22"/>
        <w:szCs w:val="22"/>
      </w:r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7" w15:restartNumberingAfterBreak="0">
    <w:nsid w:val="680F6276"/>
    <w:multiLevelType w:val="hybridMultilevel"/>
    <w:tmpl w:val="229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2E2D"/>
    <w:multiLevelType w:val="multilevel"/>
    <w:tmpl w:val="5382F32E"/>
    <w:lvl w:ilvl="0">
      <w:start w:val="15"/>
      <w:numFmt w:val="decimal"/>
      <w:lvlText w:val="%1."/>
      <w:lvlJc w:val="left"/>
      <w:pPr>
        <w:ind w:left="828" w:hanging="721"/>
      </w:pPr>
      <w:rPr>
        <w:rFonts w:ascii="Times New Roman" w:hAnsi="Times New Roman" w:cs="Times New Roman" w:hint="default"/>
        <w:b/>
        <w:bCs/>
        <w:w w:val="100"/>
        <w:sz w:val="22"/>
        <w:szCs w:val="22"/>
      </w:rPr>
    </w:lvl>
    <w:lvl w:ilvl="1">
      <w:start w:val="5"/>
      <w:numFmt w:val="decimal"/>
      <w:lvlText w:val="%1.%2"/>
      <w:lvlJc w:val="left"/>
      <w:pPr>
        <w:ind w:left="108" w:hanging="721"/>
      </w:pPr>
      <w:rPr>
        <w:rFonts w:ascii="Times New Roman" w:hAnsi="Times New Roman" w:cs="Times New Roman" w:hint="default"/>
        <w:b w:val="0"/>
        <w:bCs w:val="0"/>
        <w:w w:val="100"/>
        <w:sz w:val="22"/>
        <w:szCs w:val="22"/>
      </w:rPr>
    </w:lvl>
    <w:lvl w:ilvl="2">
      <w:start w:val="1"/>
      <w:numFmt w:val="decimal"/>
      <w:lvlText w:val="%3)"/>
      <w:lvlJc w:val="left"/>
      <w:pPr>
        <w:ind w:left="468" w:hanging="360"/>
      </w:pPr>
    </w:lvl>
    <w:lvl w:ilvl="3">
      <w:start w:val="1"/>
      <w:numFmt w:val="lowerLetter"/>
      <w:lvlText w:val="%4)"/>
      <w:lvlJc w:val="left"/>
      <w:pPr>
        <w:ind w:left="1662" w:hanging="360"/>
      </w:pPr>
      <w:rPr>
        <w:rFonts w:hint="default"/>
      </w:rPr>
    </w:lvl>
    <w:lvl w:ilvl="4">
      <w:start w:val="1"/>
      <w:numFmt w:val="lowerRoman"/>
      <w:lvlText w:val="%5)"/>
      <w:lvlJc w:val="left"/>
      <w:pPr>
        <w:ind w:left="2865" w:hanging="360"/>
      </w:pPr>
      <w:rPr>
        <w:rFonts w:hint="default"/>
      </w:rPr>
    </w:lvl>
    <w:lvl w:ilvl="5">
      <w:numFmt w:val="bullet"/>
      <w:lvlText w:val="•"/>
      <w:lvlJc w:val="left"/>
      <w:pPr>
        <w:ind w:left="4427" w:hanging="720"/>
      </w:pPr>
      <w:rPr>
        <w:rFonts w:hint="default"/>
      </w:rPr>
    </w:lvl>
    <w:lvl w:ilvl="6">
      <w:numFmt w:val="bullet"/>
      <w:lvlText w:val="•"/>
      <w:lvlJc w:val="left"/>
      <w:pPr>
        <w:ind w:left="5630" w:hanging="720"/>
      </w:pPr>
      <w:rPr>
        <w:rFonts w:hint="default"/>
      </w:rPr>
    </w:lvl>
    <w:lvl w:ilvl="7">
      <w:numFmt w:val="bullet"/>
      <w:lvlText w:val="•"/>
      <w:lvlJc w:val="left"/>
      <w:pPr>
        <w:ind w:left="6832" w:hanging="720"/>
      </w:pPr>
      <w:rPr>
        <w:rFonts w:hint="default"/>
      </w:rPr>
    </w:lvl>
    <w:lvl w:ilvl="8">
      <w:numFmt w:val="bullet"/>
      <w:lvlText w:val="•"/>
      <w:lvlJc w:val="left"/>
      <w:pPr>
        <w:ind w:left="8035" w:hanging="720"/>
      </w:pPr>
      <w:rPr>
        <w:rFonts w:hint="default"/>
      </w:rPr>
    </w:lvl>
  </w:abstractNum>
  <w:abstractNum w:abstractNumId="19" w15:restartNumberingAfterBreak="0">
    <w:nsid w:val="76835564"/>
    <w:multiLevelType w:val="hybridMultilevel"/>
    <w:tmpl w:val="6E0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11060"/>
    <w:multiLevelType w:val="hybridMultilevel"/>
    <w:tmpl w:val="24C26B3C"/>
    <w:lvl w:ilvl="0" w:tplc="A5CAE83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95391121">
    <w:abstractNumId w:val="0"/>
  </w:num>
  <w:num w:numId="2" w16cid:durableId="1362776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800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1957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0325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890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113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8726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304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8659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762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8639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50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092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128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650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39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08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2665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646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4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904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594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5489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738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2374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351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0820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742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9446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130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127832">
    <w:abstractNumId w:val="4"/>
  </w:num>
  <w:num w:numId="33" w16cid:durableId="341667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6579318">
    <w:abstractNumId w:val="5"/>
  </w:num>
  <w:num w:numId="35" w16cid:durableId="1063259978">
    <w:abstractNumId w:val="20"/>
  </w:num>
  <w:num w:numId="36" w16cid:durableId="818883735">
    <w:abstractNumId w:val="16"/>
  </w:num>
  <w:num w:numId="37" w16cid:durableId="1365056497">
    <w:abstractNumId w:val="18"/>
  </w:num>
  <w:num w:numId="38" w16cid:durableId="75786265">
    <w:abstractNumId w:val="9"/>
  </w:num>
  <w:num w:numId="39" w16cid:durableId="2054572257">
    <w:abstractNumId w:val="11"/>
  </w:num>
  <w:num w:numId="40" w16cid:durableId="1774743327">
    <w:abstractNumId w:val="6"/>
  </w:num>
  <w:num w:numId="41" w16cid:durableId="803162939">
    <w:abstractNumId w:val="12"/>
  </w:num>
  <w:num w:numId="42" w16cid:durableId="1961720172">
    <w:abstractNumId w:val="3"/>
  </w:num>
  <w:num w:numId="43" w16cid:durableId="308244876">
    <w:abstractNumId w:val="19"/>
  </w:num>
  <w:num w:numId="44" w16cid:durableId="1318916828">
    <w:abstractNumId w:val="17"/>
  </w:num>
  <w:num w:numId="45" w16cid:durableId="1967274624">
    <w:abstractNumId w:val="15"/>
  </w:num>
  <w:num w:numId="46" w16cid:durableId="4946303">
    <w:abstractNumId w:val="8"/>
  </w:num>
  <w:num w:numId="47" w16cid:durableId="387147003">
    <w:abstractNumId w:val="7"/>
  </w:num>
  <w:num w:numId="48" w16cid:durableId="391008079">
    <w:abstractNumId w:val="2"/>
  </w:num>
  <w:num w:numId="49" w16cid:durableId="888299717">
    <w:abstractNumId w:val="14"/>
  </w:num>
  <w:num w:numId="50" w16cid:durableId="73361217">
    <w:abstractNumId w:val="10"/>
  </w:num>
  <w:num w:numId="51" w16cid:durableId="348602750">
    <w:abstractNumId w:val="1"/>
  </w:num>
  <w:num w:numId="52" w16cid:durableId="222936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sturm\AppData\Local\Temp\3ca4a71c-ae3d-4f9f-85e4-e6d9e58c6da0.docx"/>
    <w:docVar w:name="zzmp10LastTrailerInserted" w:val="^`~#mp!@⌗TI#⌚├┫59=~ŚmT⌎Ê7⌘…Æ¥p,⌠⌔⌕©ß⌐¼âJ^!Ç¼⌕‮⌇B&gt;ôdƅ@ÇQÇO†⌙zwˣ~;⁀Y:¸kEÑIÝ&quot;r⌒⌖cëØRäá8Óx*ò®†ìÑÿ8®J⌞⌛EÍÜCê⌉9SUÑ⌃bŚŕDR»⌛Ým=¿Y‚#․=®{Je.Xÿÿc‛Öì~çÐ@ê®yñ°Mſ&lt;Ûó9 vºÔ‪Ý|y‚Ë»í⌏úˍ?Z⌘bM;^P011"/>
    <w:docVar w:name="zzmp10LastTrailerInserted_1078" w:val="^`~#mp!@⌗TI#⌚├┫59=~ŚmT⌎Ê7⌘…Æ¥p,⌠⌔⌕©ß⌐¼âJ^!Ç¼⌕‮⌇B&gt;ôdƅ@ÇQÇO†⌙zwˣ~;⁀Y:¸kEÑIÝ&quot;r⌒⌖cëØRäá8Óx*ò®†ìÑÿ8®J⌞⌛EÍÜCê⌉9SUÑ⌃bŚŕDR»⌛Ým=¿Y‚#․=®{Je.Xÿÿc‛Öì~çÐ@ê®yñ°Mſ&lt;Ûó9 vºÔ‪Ý|y‚Ë»í⌏úˍ?Z⌘bM;^P011"/>
    <w:docVar w:name="zzmp10mSEGsValidated" w:val="1"/>
    <w:docVar w:name="zzmpLegacyTrailerRemoved" w:val="True"/>
  </w:docVars>
  <w:rsids>
    <w:rsidRoot w:val="006644B8"/>
    <w:rsid w:val="00010F25"/>
    <w:rsid w:val="00017EF5"/>
    <w:rsid w:val="00020F31"/>
    <w:rsid w:val="00025FC1"/>
    <w:rsid w:val="00044673"/>
    <w:rsid w:val="0004585A"/>
    <w:rsid w:val="00045F97"/>
    <w:rsid w:val="00053C0C"/>
    <w:rsid w:val="00056C42"/>
    <w:rsid w:val="00087C05"/>
    <w:rsid w:val="000A7417"/>
    <w:rsid w:val="000C092C"/>
    <w:rsid w:val="000E7238"/>
    <w:rsid w:val="001014FF"/>
    <w:rsid w:val="001041AA"/>
    <w:rsid w:val="00107469"/>
    <w:rsid w:val="00110E6A"/>
    <w:rsid w:val="001140C3"/>
    <w:rsid w:val="00130010"/>
    <w:rsid w:val="0013401A"/>
    <w:rsid w:val="00153911"/>
    <w:rsid w:val="001546C7"/>
    <w:rsid w:val="00164B4E"/>
    <w:rsid w:val="001731E0"/>
    <w:rsid w:val="00174CF6"/>
    <w:rsid w:val="00180B35"/>
    <w:rsid w:val="00181955"/>
    <w:rsid w:val="00186564"/>
    <w:rsid w:val="00190C15"/>
    <w:rsid w:val="0019231C"/>
    <w:rsid w:val="001D189D"/>
    <w:rsid w:val="001D2D69"/>
    <w:rsid w:val="001E601D"/>
    <w:rsid w:val="001F04C3"/>
    <w:rsid w:val="001F1BC0"/>
    <w:rsid w:val="001F76F2"/>
    <w:rsid w:val="00201A8F"/>
    <w:rsid w:val="00213F0D"/>
    <w:rsid w:val="002159E7"/>
    <w:rsid w:val="00220B48"/>
    <w:rsid w:val="00250254"/>
    <w:rsid w:val="00253563"/>
    <w:rsid w:val="00261A30"/>
    <w:rsid w:val="00262553"/>
    <w:rsid w:val="00290475"/>
    <w:rsid w:val="00292BDB"/>
    <w:rsid w:val="002A1DDD"/>
    <w:rsid w:val="002B186F"/>
    <w:rsid w:val="002B24A7"/>
    <w:rsid w:val="002B27F2"/>
    <w:rsid w:val="002B5658"/>
    <w:rsid w:val="002C4889"/>
    <w:rsid w:val="002C51B6"/>
    <w:rsid w:val="002D47A9"/>
    <w:rsid w:val="002E5C03"/>
    <w:rsid w:val="002F2A6A"/>
    <w:rsid w:val="002F2FF0"/>
    <w:rsid w:val="002F7E94"/>
    <w:rsid w:val="00306FCF"/>
    <w:rsid w:val="00335B9C"/>
    <w:rsid w:val="003375A8"/>
    <w:rsid w:val="00341537"/>
    <w:rsid w:val="00342D33"/>
    <w:rsid w:val="0036448C"/>
    <w:rsid w:val="00371308"/>
    <w:rsid w:val="00374669"/>
    <w:rsid w:val="00380A56"/>
    <w:rsid w:val="00386B82"/>
    <w:rsid w:val="00392EE2"/>
    <w:rsid w:val="003D3D2B"/>
    <w:rsid w:val="003D79FC"/>
    <w:rsid w:val="003E0687"/>
    <w:rsid w:val="003F5FC0"/>
    <w:rsid w:val="00400E75"/>
    <w:rsid w:val="004048F2"/>
    <w:rsid w:val="00430A7F"/>
    <w:rsid w:val="00443F84"/>
    <w:rsid w:val="004465D1"/>
    <w:rsid w:val="00473C26"/>
    <w:rsid w:val="00477D96"/>
    <w:rsid w:val="004939BE"/>
    <w:rsid w:val="004B357B"/>
    <w:rsid w:val="004B46FD"/>
    <w:rsid w:val="004B5119"/>
    <w:rsid w:val="004E12A5"/>
    <w:rsid w:val="004E4CD8"/>
    <w:rsid w:val="004F1F3B"/>
    <w:rsid w:val="004F2AD9"/>
    <w:rsid w:val="00507351"/>
    <w:rsid w:val="0050775F"/>
    <w:rsid w:val="00511937"/>
    <w:rsid w:val="00520725"/>
    <w:rsid w:val="005259C2"/>
    <w:rsid w:val="0052684B"/>
    <w:rsid w:val="00545ACC"/>
    <w:rsid w:val="005513C3"/>
    <w:rsid w:val="0055556D"/>
    <w:rsid w:val="00564CD2"/>
    <w:rsid w:val="0056791D"/>
    <w:rsid w:val="00573C17"/>
    <w:rsid w:val="00580C23"/>
    <w:rsid w:val="00595E9E"/>
    <w:rsid w:val="005A08F7"/>
    <w:rsid w:val="005B6719"/>
    <w:rsid w:val="005B6D0E"/>
    <w:rsid w:val="005C161F"/>
    <w:rsid w:val="005D0501"/>
    <w:rsid w:val="005D3349"/>
    <w:rsid w:val="005D7F64"/>
    <w:rsid w:val="005E2E71"/>
    <w:rsid w:val="005E73EE"/>
    <w:rsid w:val="005F224B"/>
    <w:rsid w:val="005F38FF"/>
    <w:rsid w:val="006108F6"/>
    <w:rsid w:val="00615C3D"/>
    <w:rsid w:val="00626AF6"/>
    <w:rsid w:val="00633592"/>
    <w:rsid w:val="00640360"/>
    <w:rsid w:val="00644C18"/>
    <w:rsid w:val="006644B8"/>
    <w:rsid w:val="00665624"/>
    <w:rsid w:val="00681A64"/>
    <w:rsid w:val="00684F18"/>
    <w:rsid w:val="00686B65"/>
    <w:rsid w:val="006919FD"/>
    <w:rsid w:val="00692E09"/>
    <w:rsid w:val="006A25E1"/>
    <w:rsid w:val="006A4D4F"/>
    <w:rsid w:val="006A761E"/>
    <w:rsid w:val="006B610F"/>
    <w:rsid w:val="006C3DE0"/>
    <w:rsid w:val="006E19D5"/>
    <w:rsid w:val="006F6BB7"/>
    <w:rsid w:val="007035C2"/>
    <w:rsid w:val="00712A0F"/>
    <w:rsid w:val="00713455"/>
    <w:rsid w:val="007143C0"/>
    <w:rsid w:val="007268A4"/>
    <w:rsid w:val="007333E1"/>
    <w:rsid w:val="007407EA"/>
    <w:rsid w:val="00740BEE"/>
    <w:rsid w:val="007528A5"/>
    <w:rsid w:val="00752BCE"/>
    <w:rsid w:val="00752E7D"/>
    <w:rsid w:val="007577DB"/>
    <w:rsid w:val="007722C1"/>
    <w:rsid w:val="00792433"/>
    <w:rsid w:val="0079596C"/>
    <w:rsid w:val="00797BD8"/>
    <w:rsid w:val="007A6DE9"/>
    <w:rsid w:val="007B1404"/>
    <w:rsid w:val="007B77DE"/>
    <w:rsid w:val="007F0752"/>
    <w:rsid w:val="0080413B"/>
    <w:rsid w:val="00807E56"/>
    <w:rsid w:val="00812C0A"/>
    <w:rsid w:val="00814D54"/>
    <w:rsid w:val="0082196D"/>
    <w:rsid w:val="00830900"/>
    <w:rsid w:val="0083310C"/>
    <w:rsid w:val="008370AA"/>
    <w:rsid w:val="00846C34"/>
    <w:rsid w:val="0087404D"/>
    <w:rsid w:val="00877236"/>
    <w:rsid w:val="00877740"/>
    <w:rsid w:val="00880BE9"/>
    <w:rsid w:val="00891F17"/>
    <w:rsid w:val="008937F2"/>
    <w:rsid w:val="008A30BC"/>
    <w:rsid w:val="008B08B7"/>
    <w:rsid w:val="008B1B06"/>
    <w:rsid w:val="008D17D9"/>
    <w:rsid w:val="008D234B"/>
    <w:rsid w:val="008D749D"/>
    <w:rsid w:val="008F301C"/>
    <w:rsid w:val="00901D1D"/>
    <w:rsid w:val="0090217F"/>
    <w:rsid w:val="009061E4"/>
    <w:rsid w:val="00920BD2"/>
    <w:rsid w:val="00927C4A"/>
    <w:rsid w:val="0094000D"/>
    <w:rsid w:val="00940545"/>
    <w:rsid w:val="00953728"/>
    <w:rsid w:val="00953CC3"/>
    <w:rsid w:val="0095510A"/>
    <w:rsid w:val="00955D27"/>
    <w:rsid w:val="00960A90"/>
    <w:rsid w:val="00970097"/>
    <w:rsid w:val="00982624"/>
    <w:rsid w:val="00990510"/>
    <w:rsid w:val="009A0603"/>
    <w:rsid w:val="009B5E97"/>
    <w:rsid w:val="009C72E0"/>
    <w:rsid w:val="009F2D2B"/>
    <w:rsid w:val="009F4955"/>
    <w:rsid w:val="009F727D"/>
    <w:rsid w:val="00A050AE"/>
    <w:rsid w:val="00A52E86"/>
    <w:rsid w:val="00A536F7"/>
    <w:rsid w:val="00A86457"/>
    <w:rsid w:val="00A97CCB"/>
    <w:rsid w:val="00AA4231"/>
    <w:rsid w:val="00AD0203"/>
    <w:rsid w:val="00AD6315"/>
    <w:rsid w:val="00AE5318"/>
    <w:rsid w:val="00AE5E4E"/>
    <w:rsid w:val="00B0167F"/>
    <w:rsid w:val="00B0715A"/>
    <w:rsid w:val="00B10F7B"/>
    <w:rsid w:val="00B17D36"/>
    <w:rsid w:val="00B23FB0"/>
    <w:rsid w:val="00B255DA"/>
    <w:rsid w:val="00B27570"/>
    <w:rsid w:val="00B30480"/>
    <w:rsid w:val="00B337AA"/>
    <w:rsid w:val="00B3602C"/>
    <w:rsid w:val="00B37206"/>
    <w:rsid w:val="00B42242"/>
    <w:rsid w:val="00B52DAE"/>
    <w:rsid w:val="00B61C5A"/>
    <w:rsid w:val="00B653EF"/>
    <w:rsid w:val="00B725FB"/>
    <w:rsid w:val="00B85F26"/>
    <w:rsid w:val="00B8768C"/>
    <w:rsid w:val="00B917E4"/>
    <w:rsid w:val="00BD276E"/>
    <w:rsid w:val="00BD6CA1"/>
    <w:rsid w:val="00BE7D52"/>
    <w:rsid w:val="00BE7E13"/>
    <w:rsid w:val="00BF059A"/>
    <w:rsid w:val="00C032C6"/>
    <w:rsid w:val="00C209FF"/>
    <w:rsid w:val="00C253BF"/>
    <w:rsid w:val="00C261A3"/>
    <w:rsid w:val="00C61276"/>
    <w:rsid w:val="00C765E8"/>
    <w:rsid w:val="00C8182D"/>
    <w:rsid w:val="00C8204C"/>
    <w:rsid w:val="00C8320B"/>
    <w:rsid w:val="00C8638B"/>
    <w:rsid w:val="00CA00E0"/>
    <w:rsid w:val="00CB579A"/>
    <w:rsid w:val="00CD3AFC"/>
    <w:rsid w:val="00CD51EC"/>
    <w:rsid w:val="00CF2612"/>
    <w:rsid w:val="00D00A88"/>
    <w:rsid w:val="00D00E8D"/>
    <w:rsid w:val="00D03B9F"/>
    <w:rsid w:val="00D17B88"/>
    <w:rsid w:val="00D26356"/>
    <w:rsid w:val="00D26F1E"/>
    <w:rsid w:val="00D42727"/>
    <w:rsid w:val="00D52CD3"/>
    <w:rsid w:val="00D55F9B"/>
    <w:rsid w:val="00D67141"/>
    <w:rsid w:val="00D70076"/>
    <w:rsid w:val="00D728A7"/>
    <w:rsid w:val="00D9027A"/>
    <w:rsid w:val="00D94B74"/>
    <w:rsid w:val="00DD20D7"/>
    <w:rsid w:val="00DD3958"/>
    <w:rsid w:val="00DE7CA6"/>
    <w:rsid w:val="00E0234B"/>
    <w:rsid w:val="00E14D64"/>
    <w:rsid w:val="00E31C66"/>
    <w:rsid w:val="00E44FF6"/>
    <w:rsid w:val="00E470D4"/>
    <w:rsid w:val="00E50772"/>
    <w:rsid w:val="00E50C44"/>
    <w:rsid w:val="00E7251B"/>
    <w:rsid w:val="00E8372A"/>
    <w:rsid w:val="00E86CBB"/>
    <w:rsid w:val="00EB1F7F"/>
    <w:rsid w:val="00EB455D"/>
    <w:rsid w:val="00EC05F8"/>
    <w:rsid w:val="00EC21D1"/>
    <w:rsid w:val="00ED131C"/>
    <w:rsid w:val="00ED2DD6"/>
    <w:rsid w:val="00ED32F8"/>
    <w:rsid w:val="00EE0D8D"/>
    <w:rsid w:val="00EF4813"/>
    <w:rsid w:val="00F00D34"/>
    <w:rsid w:val="00F1432D"/>
    <w:rsid w:val="00F26510"/>
    <w:rsid w:val="00F84E49"/>
    <w:rsid w:val="00F852F3"/>
    <w:rsid w:val="00F9001A"/>
    <w:rsid w:val="00F90EB6"/>
    <w:rsid w:val="00FB1771"/>
    <w:rsid w:val="00FC67FD"/>
    <w:rsid w:val="00FE04BF"/>
    <w:rsid w:val="00FE4B91"/>
    <w:rsid w:val="00FF4A7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EE637"/>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828" w:hanging="722"/>
      <w:outlineLvl w:val="0"/>
    </w:pPr>
    <w:rPr>
      <w:b/>
      <w:bCs/>
    </w:rPr>
  </w:style>
  <w:style w:type="paragraph" w:styleId="Heading2">
    <w:name w:val="heading 2"/>
    <w:basedOn w:val="Normal"/>
    <w:next w:val="Normal"/>
    <w:link w:val="Heading2Char"/>
    <w:uiPriority w:val="9"/>
    <w:unhideWhenUsed/>
    <w:qFormat/>
    <w:rsid w:val="009551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51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07"/>
      <w:jc w:val="both"/>
    </w:p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spacing w:before="121"/>
      <w:ind w:left="107"/>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644B8"/>
    <w:pPr>
      <w:tabs>
        <w:tab w:val="center" w:pos="4680"/>
        <w:tab w:val="right" w:pos="9360"/>
      </w:tabs>
    </w:pPr>
  </w:style>
  <w:style w:type="character" w:customStyle="1" w:styleId="HeaderChar">
    <w:name w:val="Header Char"/>
    <w:link w:val="Header"/>
    <w:uiPriority w:val="99"/>
    <w:rsid w:val="006644B8"/>
    <w:rPr>
      <w:rFonts w:ascii="Times New Roman" w:hAnsi="Times New Roman" w:cs="Times New Roman"/>
    </w:rPr>
  </w:style>
  <w:style w:type="paragraph" w:styleId="Footer">
    <w:name w:val="footer"/>
    <w:basedOn w:val="Normal"/>
    <w:link w:val="FooterChar"/>
    <w:uiPriority w:val="99"/>
    <w:unhideWhenUsed/>
    <w:rsid w:val="006644B8"/>
    <w:pPr>
      <w:tabs>
        <w:tab w:val="center" w:pos="4680"/>
        <w:tab w:val="right" w:pos="9360"/>
      </w:tabs>
    </w:pPr>
  </w:style>
  <w:style w:type="character" w:customStyle="1" w:styleId="FooterChar">
    <w:name w:val="Footer Char"/>
    <w:link w:val="Footer"/>
    <w:uiPriority w:val="99"/>
    <w:rsid w:val="006644B8"/>
    <w:rPr>
      <w:rFonts w:ascii="Times New Roman" w:hAnsi="Times New Roman" w:cs="Times New Roman"/>
    </w:rPr>
  </w:style>
  <w:style w:type="paragraph" w:customStyle="1" w:styleId="MacPacTrailer">
    <w:name w:val="MacPac Trailer"/>
    <w:basedOn w:val="Normal"/>
    <w:rsid w:val="00511937"/>
    <w:rPr>
      <w:sz w:val="16"/>
    </w:rPr>
  </w:style>
  <w:style w:type="character" w:styleId="PlaceholderText">
    <w:name w:val="Placeholder Text"/>
    <w:uiPriority w:val="99"/>
    <w:semiHidden/>
    <w:rsid w:val="00511937"/>
    <w:rPr>
      <w:color w:val="808080"/>
    </w:rPr>
  </w:style>
  <w:style w:type="character" w:styleId="CommentReference">
    <w:name w:val="annotation reference"/>
    <w:uiPriority w:val="99"/>
    <w:semiHidden/>
    <w:unhideWhenUsed/>
    <w:rsid w:val="00CF2612"/>
    <w:rPr>
      <w:sz w:val="16"/>
      <w:szCs w:val="16"/>
    </w:rPr>
  </w:style>
  <w:style w:type="paragraph" w:styleId="CommentText">
    <w:name w:val="annotation text"/>
    <w:basedOn w:val="Normal"/>
    <w:link w:val="CommentTextChar"/>
    <w:uiPriority w:val="99"/>
    <w:unhideWhenUsed/>
    <w:rsid w:val="00CF2612"/>
    <w:rPr>
      <w:sz w:val="20"/>
      <w:szCs w:val="20"/>
    </w:rPr>
  </w:style>
  <w:style w:type="character" w:customStyle="1" w:styleId="CommentTextChar">
    <w:name w:val="Comment Text Char"/>
    <w:link w:val="CommentText"/>
    <w:uiPriority w:val="99"/>
    <w:rsid w:val="00CF261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2612"/>
    <w:rPr>
      <w:b/>
      <w:bCs/>
    </w:rPr>
  </w:style>
  <w:style w:type="character" w:customStyle="1" w:styleId="CommentSubjectChar">
    <w:name w:val="Comment Subject Char"/>
    <w:link w:val="CommentSubject"/>
    <w:uiPriority w:val="99"/>
    <w:semiHidden/>
    <w:rsid w:val="00CF2612"/>
    <w:rPr>
      <w:rFonts w:ascii="Times New Roman" w:hAnsi="Times New Roman"/>
      <w:b/>
      <w:bCs/>
    </w:rPr>
  </w:style>
  <w:style w:type="paragraph" w:styleId="BalloonText">
    <w:name w:val="Balloon Text"/>
    <w:basedOn w:val="Normal"/>
    <w:link w:val="BalloonTextChar"/>
    <w:uiPriority w:val="99"/>
    <w:semiHidden/>
    <w:unhideWhenUsed/>
    <w:rsid w:val="00CF2612"/>
    <w:rPr>
      <w:rFonts w:ascii="Segoe UI" w:hAnsi="Segoe UI" w:cs="Segoe UI"/>
      <w:sz w:val="18"/>
      <w:szCs w:val="18"/>
    </w:rPr>
  </w:style>
  <w:style w:type="character" w:customStyle="1" w:styleId="BalloonTextChar">
    <w:name w:val="Balloon Text Char"/>
    <w:link w:val="BalloonText"/>
    <w:uiPriority w:val="99"/>
    <w:semiHidden/>
    <w:rsid w:val="00CF2612"/>
    <w:rPr>
      <w:rFonts w:ascii="Segoe UI" w:hAnsi="Segoe UI" w:cs="Segoe UI"/>
      <w:sz w:val="18"/>
      <w:szCs w:val="18"/>
    </w:rPr>
  </w:style>
  <w:style w:type="paragraph" w:customStyle="1" w:styleId="Text1">
    <w:name w:val="Text 1"/>
    <w:basedOn w:val="Normal"/>
    <w:rsid w:val="00CF2612"/>
    <w:pPr>
      <w:widowControl/>
      <w:autoSpaceDE/>
      <w:autoSpaceDN/>
      <w:adjustRightInd/>
      <w:spacing w:after="240"/>
      <w:ind w:left="482"/>
      <w:jc w:val="both"/>
    </w:pPr>
    <w:rPr>
      <w:sz w:val="24"/>
      <w:szCs w:val="20"/>
      <w:lang w:val="en-GB"/>
    </w:rPr>
  </w:style>
  <w:style w:type="paragraph" w:customStyle="1" w:styleId="NormalCentered">
    <w:name w:val="Normal Centered"/>
    <w:basedOn w:val="Normal"/>
    <w:rsid w:val="00CF2612"/>
    <w:pPr>
      <w:widowControl/>
      <w:autoSpaceDE/>
      <w:autoSpaceDN/>
      <w:adjustRightInd/>
      <w:spacing w:before="120" w:after="120"/>
      <w:jc w:val="center"/>
    </w:pPr>
    <w:rPr>
      <w:rFonts w:eastAsia="Calibri"/>
      <w:sz w:val="24"/>
      <w:lang w:val="en-GB"/>
    </w:rPr>
  </w:style>
  <w:style w:type="paragraph" w:customStyle="1" w:styleId="NormalRight">
    <w:name w:val="Normal Right"/>
    <w:basedOn w:val="Normal"/>
    <w:rsid w:val="00CF2612"/>
    <w:pPr>
      <w:widowControl/>
      <w:autoSpaceDE/>
      <w:autoSpaceDN/>
      <w:adjustRightInd/>
      <w:spacing w:before="120" w:after="120"/>
      <w:jc w:val="right"/>
    </w:pPr>
    <w:rPr>
      <w:rFonts w:eastAsia="Calibri"/>
      <w:sz w:val="24"/>
      <w:lang w:val="en-GB"/>
    </w:rPr>
  </w:style>
  <w:style w:type="paragraph" w:customStyle="1" w:styleId="Point0">
    <w:name w:val="Point 0"/>
    <w:basedOn w:val="Normal"/>
    <w:rsid w:val="00CF2612"/>
    <w:pPr>
      <w:widowControl/>
      <w:autoSpaceDE/>
      <w:autoSpaceDN/>
      <w:adjustRightInd/>
      <w:spacing w:before="120" w:after="120"/>
      <w:ind w:left="850" w:hanging="850"/>
      <w:jc w:val="both"/>
    </w:pPr>
    <w:rPr>
      <w:rFonts w:eastAsia="Calibri"/>
      <w:sz w:val="24"/>
      <w:lang w:val="en-GB"/>
    </w:rPr>
  </w:style>
  <w:style w:type="paragraph" w:customStyle="1" w:styleId="Point1">
    <w:name w:val="Point 1"/>
    <w:basedOn w:val="Normal"/>
    <w:rsid w:val="00CF2612"/>
    <w:pPr>
      <w:widowControl/>
      <w:autoSpaceDE/>
      <w:autoSpaceDN/>
      <w:adjustRightInd/>
      <w:spacing w:before="120" w:after="120"/>
      <w:ind w:left="1417" w:hanging="567"/>
      <w:jc w:val="both"/>
    </w:pPr>
    <w:rPr>
      <w:rFonts w:eastAsia="Calibri"/>
      <w:sz w:val="24"/>
      <w:lang w:val="en-GB"/>
    </w:rPr>
  </w:style>
  <w:style w:type="paragraph" w:customStyle="1" w:styleId="ManualNumPar1">
    <w:name w:val="Manual NumPar 1"/>
    <w:basedOn w:val="Normal"/>
    <w:next w:val="Text1"/>
    <w:rsid w:val="00CF2612"/>
    <w:pPr>
      <w:widowControl/>
      <w:autoSpaceDE/>
      <w:autoSpaceDN/>
      <w:adjustRightInd/>
      <w:spacing w:before="120" w:after="120"/>
      <w:ind w:left="850" w:hanging="850"/>
      <w:jc w:val="both"/>
    </w:pPr>
    <w:rPr>
      <w:rFonts w:eastAsia="Calibri"/>
      <w:sz w:val="24"/>
      <w:lang w:val="en-GB"/>
    </w:rPr>
  </w:style>
  <w:style w:type="paragraph" w:customStyle="1" w:styleId="Annexetitre">
    <w:name w:val="Annexe titre"/>
    <w:basedOn w:val="Normal"/>
    <w:next w:val="Normal"/>
    <w:rsid w:val="00CF2612"/>
    <w:pPr>
      <w:widowControl/>
      <w:autoSpaceDE/>
      <w:autoSpaceDN/>
      <w:adjustRightInd/>
      <w:spacing w:before="120" w:after="120"/>
      <w:jc w:val="center"/>
    </w:pPr>
    <w:rPr>
      <w:rFonts w:eastAsia="Calibri"/>
      <w:b/>
      <w:sz w:val="24"/>
      <w:u w:val="single"/>
      <w:lang w:val="en-GB"/>
    </w:rPr>
  </w:style>
  <w:style w:type="paragraph" w:customStyle="1" w:styleId="Titrearticle">
    <w:name w:val="Titre article"/>
    <w:basedOn w:val="Normal"/>
    <w:next w:val="Normal"/>
    <w:rsid w:val="00CF2612"/>
    <w:pPr>
      <w:keepNext/>
      <w:widowControl/>
      <w:autoSpaceDE/>
      <w:autoSpaceDN/>
      <w:adjustRightInd/>
      <w:spacing w:before="360" w:after="120"/>
      <w:jc w:val="center"/>
    </w:pPr>
    <w:rPr>
      <w:rFonts w:eastAsia="Calibri"/>
      <w:i/>
      <w:sz w:val="24"/>
      <w:lang w:val="en-GB"/>
    </w:rPr>
  </w:style>
  <w:style w:type="character" w:styleId="Hyperlink">
    <w:name w:val="Hyperlink"/>
    <w:uiPriority w:val="99"/>
    <w:unhideWhenUsed/>
    <w:rsid w:val="002B186F"/>
    <w:rPr>
      <w:color w:val="0563C1"/>
      <w:u w:val="single"/>
    </w:rPr>
  </w:style>
  <w:style w:type="character" w:customStyle="1" w:styleId="UnresolvedMention1">
    <w:name w:val="Unresolved Mention1"/>
    <w:uiPriority w:val="99"/>
    <w:semiHidden/>
    <w:unhideWhenUsed/>
    <w:rsid w:val="002B186F"/>
    <w:rPr>
      <w:color w:val="605E5C"/>
      <w:shd w:val="clear" w:color="auto" w:fill="E1DFDD"/>
    </w:rPr>
  </w:style>
  <w:style w:type="paragraph" w:styleId="Revision">
    <w:name w:val="Revision"/>
    <w:hidden/>
    <w:uiPriority w:val="99"/>
    <w:semiHidden/>
    <w:rsid w:val="00342D33"/>
    <w:rPr>
      <w:rFonts w:ascii="Times New Roman" w:hAnsi="Times New Roman"/>
      <w:sz w:val="22"/>
      <w:szCs w:val="22"/>
    </w:rPr>
  </w:style>
  <w:style w:type="paragraph" w:styleId="FootnoteText">
    <w:name w:val="footnote text"/>
    <w:basedOn w:val="Normal"/>
    <w:link w:val="FootnoteTextChar"/>
    <w:uiPriority w:val="99"/>
    <w:semiHidden/>
    <w:unhideWhenUsed/>
    <w:rsid w:val="009C72E0"/>
    <w:pPr>
      <w:widowControl/>
      <w:autoSpaceDE/>
      <w:autoSpaceDN/>
      <w:adjustRightInd/>
      <w:ind w:left="720" w:hanging="720"/>
      <w:jc w:val="both"/>
    </w:pPr>
    <w:rPr>
      <w:rFonts w:eastAsia="Calibri"/>
      <w:sz w:val="20"/>
      <w:szCs w:val="20"/>
      <w:lang w:val="en-GB"/>
    </w:rPr>
  </w:style>
  <w:style w:type="character" w:customStyle="1" w:styleId="FootnoteTextChar">
    <w:name w:val="Footnote Text Char"/>
    <w:link w:val="FootnoteText"/>
    <w:uiPriority w:val="99"/>
    <w:semiHidden/>
    <w:rsid w:val="009C72E0"/>
    <w:rPr>
      <w:rFonts w:ascii="Times New Roman" w:eastAsia="Calibri" w:hAnsi="Times New Roman"/>
      <w:lang w:val="en-GB"/>
    </w:rPr>
  </w:style>
  <w:style w:type="character" w:styleId="FootnoteReference">
    <w:name w:val="footnote reference"/>
    <w:uiPriority w:val="99"/>
    <w:semiHidden/>
    <w:unhideWhenUsed/>
    <w:rsid w:val="009C72E0"/>
    <w:rPr>
      <w:shd w:val="clear" w:color="auto" w:fill="auto"/>
      <w:vertAlign w:val="superscript"/>
    </w:rPr>
  </w:style>
  <w:style w:type="paragraph" w:customStyle="1" w:styleId="Point0number">
    <w:name w:val="Point 0 (number)"/>
    <w:basedOn w:val="Normal"/>
    <w:rsid w:val="009C72E0"/>
    <w:pPr>
      <w:widowControl/>
      <w:numPr>
        <w:numId w:val="2"/>
      </w:numPr>
      <w:autoSpaceDE/>
      <w:autoSpaceDN/>
      <w:adjustRightInd/>
      <w:spacing w:before="120" w:after="120"/>
      <w:jc w:val="both"/>
    </w:pPr>
    <w:rPr>
      <w:rFonts w:eastAsia="Calibri"/>
      <w:sz w:val="24"/>
      <w:lang w:val="en-GB"/>
    </w:rPr>
  </w:style>
  <w:style w:type="paragraph" w:customStyle="1" w:styleId="Point1number">
    <w:name w:val="Point 1 (number)"/>
    <w:basedOn w:val="Normal"/>
    <w:rsid w:val="009C72E0"/>
    <w:pPr>
      <w:widowControl/>
      <w:numPr>
        <w:ilvl w:val="2"/>
        <w:numId w:val="2"/>
      </w:numPr>
      <w:autoSpaceDE/>
      <w:autoSpaceDN/>
      <w:adjustRightInd/>
      <w:spacing w:before="120" w:after="120"/>
      <w:jc w:val="both"/>
    </w:pPr>
    <w:rPr>
      <w:rFonts w:eastAsia="Calibri"/>
      <w:sz w:val="24"/>
      <w:lang w:val="en-GB"/>
    </w:rPr>
  </w:style>
  <w:style w:type="paragraph" w:customStyle="1" w:styleId="Point2number">
    <w:name w:val="Point 2 (number)"/>
    <w:basedOn w:val="Normal"/>
    <w:rsid w:val="009C72E0"/>
    <w:pPr>
      <w:widowControl/>
      <w:numPr>
        <w:ilvl w:val="4"/>
        <w:numId w:val="2"/>
      </w:numPr>
      <w:autoSpaceDE/>
      <w:autoSpaceDN/>
      <w:adjustRightInd/>
      <w:spacing w:before="120" w:after="120"/>
      <w:jc w:val="both"/>
    </w:pPr>
    <w:rPr>
      <w:rFonts w:eastAsia="Calibri"/>
      <w:sz w:val="24"/>
      <w:lang w:val="en-GB"/>
    </w:rPr>
  </w:style>
  <w:style w:type="paragraph" w:customStyle="1" w:styleId="Point3number">
    <w:name w:val="Point 3 (number)"/>
    <w:basedOn w:val="Normal"/>
    <w:rsid w:val="009C72E0"/>
    <w:pPr>
      <w:widowControl/>
      <w:numPr>
        <w:ilvl w:val="6"/>
        <w:numId w:val="2"/>
      </w:numPr>
      <w:autoSpaceDE/>
      <w:autoSpaceDN/>
      <w:adjustRightInd/>
      <w:spacing w:before="120" w:after="120"/>
      <w:jc w:val="both"/>
    </w:pPr>
    <w:rPr>
      <w:rFonts w:eastAsia="Calibri"/>
      <w:sz w:val="24"/>
      <w:lang w:val="en-GB"/>
    </w:rPr>
  </w:style>
  <w:style w:type="paragraph" w:customStyle="1" w:styleId="Point0letter">
    <w:name w:val="Point 0 (letter)"/>
    <w:basedOn w:val="Normal"/>
    <w:rsid w:val="009C72E0"/>
    <w:pPr>
      <w:widowControl/>
      <w:numPr>
        <w:ilvl w:val="1"/>
        <w:numId w:val="2"/>
      </w:numPr>
      <w:autoSpaceDE/>
      <w:autoSpaceDN/>
      <w:adjustRightInd/>
      <w:spacing w:before="120" w:after="120"/>
      <w:jc w:val="both"/>
    </w:pPr>
    <w:rPr>
      <w:rFonts w:eastAsia="Calibri"/>
      <w:sz w:val="24"/>
      <w:lang w:val="en-GB"/>
    </w:rPr>
  </w:style>
  <w:style w:type="paragraph" w:customStyle="1" w:styleId="Point2letter">
    <w:name w:val="Point 2 (letter)"/>
    <w:basedOn w:val="Normal"/>
    <w:rsid w:val="009C72E0"/>
    <w:pPr>
      <w:widowControl/>
      <w:numPr>
        <w:ilvl w:val="5"/>
        <w:numId w:val="2"/>
      </w:numPr>
      <w:autoSpaceDE/>
      <w:autoSpaceDN/>
      <w:adjustRightInd/>
      <w:spacing w:before="120" w:after="120"/>
      <w:jc w:val="both"/>
    </w:pPr>
    <w:rPr>
      <w:rFonts w:eastAsia="Calibri"/>
      <w:sz w:val="24"/>
      <w:lang w:val="en-GB"/>
    </w:rPr>
  </w:style>
  <w:style w:type="paragraph" w:customStyle="1" w:styleId="Point3letter">
    <w:name w:val="Point 3 (letter)"/>
    <w:basedOn w:val="Normal"/>
    <w:rsid w:val="009C72E0"/>
    <w:pPr>
      <w:widowControl/>
      <w:numPr>
        <w:ilvl w:val="7"/>
        <w:numId w:val="2"/>
      </w:numPr>
      <w:autoSpaceDE/>
      <w:autoSpaceDN/>
      <w:adjustRightInd/>
      <w:spacing w:before="120" w:after="120"/>
      <w:jc w:val="both"/>
    </w:pPr>
    <w:rPr>
      <w:rFonts w:eastAsia="Calibri"/>
      <w:sz w:val="24"/>
      <w:lang w:val="en-GB"/>
    </w:rPr>
  </w:style>
  <w:style w:type="paragraph" w:customStyle="1" w:styleId="Point4letter">
    <w:name w:val="Point 4 (letter)"/>
    <w:basedOn w:val="Normal"/>
    <w:rsid w:val="009C72E0"/>
    <w:pPr>
      <w:widowControl/>
      <w:numPr>
        <w:ilvl w:val="8"/>
        <w:numId w:val="2"/>
      </w:numPr>
      <w:autoSpaceDE/>
      <w:autoSpaceDN/>
      <w:adjustRightInd/>
      <w:spacing w:before="120" w:after="120"/>
      <w:jc w:val="both"/>
    </w:pPr>
    <w:rPr>
      <w:rFonts w:eastAsia="Calibri"/>
      <w:sz w:val="24"/>
      <w:lang w:val="en-GB"/>
    </w:rPr>
  </w:style>
  <w:style w:type="character" w:customStyle="1" w:styleId="cf01">
    <w:name w:val="cf01"/>
    <w:rsid w:val="00E50772"/>
    <w:rPr>
      <w:rFonts w:ascii="Segoe UI" w:hAnsi="Segoe UI" w:cs="Segoe UI" w:hint="default"/>
      <w:sz w:val="18"/>
      <w:szCs w:val="18"/>
    </w:rPr>
  </w:style>
  <w:style w:type="character" w:customStyle="1" w:styleId="GSATableTextChar">
    <w:name w:val="GSA Table Text Char"/>
    <w:link w:val="GSATableText"/>
    <w:rsid w:val="00953CC3"/>
    <w:rPr>
      <w:rFonts w:eastAsia="Lucida Sans Unicode" w:cs="Arial"/>
      <w:color w:val="000000"/>
      <w:spacing w:val="-5"/>
      <w:kern w:val="20"/>
      <w:sz w:val="22"/>
      <w:szCs w:val="24"/>
    </w:rPr>
  </w:style>
  <w:style w:type="paragraph" w:customStyle="1" w:styleId="GSATableHeading">
    <w:name w:val="GSA Table Heading"/>
    <w:basedOn w:val="Normal"/>
    <w:next w:val="Normal"/>
    <w:qFormat/>
    <w:rsid w:val="00953CC3"/>
    <w:pPr>
      <w:keepNext/>
      <w:keepLines/>
      <w:suppressAutoHyphens/>
      <w:autoSpaceDE/>
      <w:autoSpaceDN/>
      <w:adjustRightInd/>
      <w:spacing w:line="200" w:lineRule="atLeast"/>
      <w:jc w:val="center"/>
    </w:pPr>
    <w:rPr>
      <w:rFonts w:ascii="Calibri" w:hAnsi="Calibri" w:cs="Arial"/>
      <w:b/>
      <w:sz w:val="20"/>
      <w:lang w:eastAsia="zh-TW"/>
    </w:rPr>
  </w:style>
  <w:style w:type="paragraph" w:customStyle="1" w:styleId="GSATableText">
    <w:name w:val="GSA Table Text"/>
    <w:basedOn w:val="Normal"/>
    <w:link w:val="GSATableTextChar"/>
    <w:qFormat/>
    <w:rsid w:val="00953CC3"/>
    <w:pPr>
      <w:suppressAutoHyphens/>
      <w:overflowPunct w:val="0"/>
      <w:autoSpaceDE/>
      <w:autoSpaceDN/>
      <w:adjustRightInd/>
      <w:spacing w:line="200" w:lineRule="atLeast"/>
      <w:textAlignment w:val="baseline"/>
    </w:pPr>
    <w:rPr>
      <w:rFonts w:ascii="Calibri" w:eastAsia="Lucida Sans Unicode" w:hAnsi="Calibri" w:cs="Arial"/>
      <w:color w:val="000000"/>
      <w:spacing w:val="-5"/>
      <w:kern w:val="20"/>
      <w:szCs w:val="24"/>
    </w:rPr>
  </w:style>
  <w:style w:type="table" w:styleId="TableGrid">
    <w:name w:val="Table Grid"/>
    <w:basedOn w:val="TableNormal"/>
    <w:uiPriority w:val="39"/>
    <w:rsid w:val="001F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E4B91"/>
    <w:rPr>
      <w:color w:val="605E5C"/>
      <w:shd w:val="clear" w:color="auto" w:fill="E1DFDD"/>
    </w:rPr>
  </w:style>
  <w:style w:type="paragraph" w:customStyle="1" w:styleId="oj-normal">
    <w:name w:val="oj-normal"/>
    <w:basedOn w:val="Normal"/>
    <w:rsid w:val="00580C23"/>
    <w:pPr>
      <w:widowControl/>
      <w:autoSpaceDE/>
      <w:autoSpaceDN/>
      <w:adjustRightInd/>
      <w:spacing w:before="100" w:beforeAutospacing="1" w:after="100" w:afterAutospacing="1"/>
    </w:pPr>
    <w:rPr>
      <w:sz w:val="24"/>
      <w:szCs w:val="24"/>
    </w:rPr>
  </w:style>
  <w:style w:type="character" w:customStyle="1" w:styleId="UnresolvedMention3">
    <w:name w:val="Unresolved Mention3"/>
    <w:basedOn w:val="DefaultParagraphFont"/>
    <w:uiPriority w:val="99"/>
    <w:rsid w:val="005B6719"/>
    <w:rPr>
      <w:color w:val="605E5C"/>
      <w:shd w:val="clear" w:color="auto" w:fill="E1DFDD"/>
    </w:rPr>
  </w:style>
  <w:style w:type="character" w:customStyle="1" w:styleId="Heading2Char">
    <w:name w:val="Heading 2 Char"/>
    <w:basedOn w:val="DefaultParagraphFont"/>
    <w:link w:val="Heading2"/>
    <w:uiPriority w:val="9"/>
    <w:rsid w:val="009551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510A"/>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95510A"/>
    <w:rPr>
      <w:rFonts w:ascii="Verdana" w:hAnsi="Verdana"/>
    </w:rPr>
  </w:style>
  <w:style w:type="paragraph" w:customStyle="1" w:styleId="Body">
    <w:name w:val="Body"/>
    <w:basedOn w:val="Normal"/>
    <w:link w:val="BodyChar"/>
    <w:qFormat/>
    <w:rsid w:val="0095510A"/>
    <w:pPr>
      <w:widowControl/>
      <w:numPr>
        <w:numId w:val="52"/>
      </w:numPr>
      <w:tabs>
        <w:tab w:val="left" w:pos="1843"/>
        <w:tab w:val="left" w:pos="3119"/>
        <w:tab w:val="left" w:pos="4253"/>
      </w:tabs>
      <w:autoSpaceDE/>
      <w:autoSpaceDN/>
      <w:adjustRightInd/>
      <w:spacing w:before="120" w:after="120" w:line="276" w:lineRule="auto"/>
    </w:pPr>
    <w:rPr>
      <w:rFonts w:ascii="Verdana" w:hAnsi="Verdana"/>
      <w:sz w:val="20"/>
      <w:szCs w:val="20"/>
    </w:rPr>
  </w:style>
  <w:style w:type="paragraph" w:customStyle="1" w:styleId="aDefinition">
    <w:name w:val="(a) Definition"/>
    <w:basedOn w:val="Body"/>
    <w:qFormat/>
    <w:rsid w:val="0095510A"/>
    <w:pPr>
      <w:numPr>
        <w:ilvl w:val="1"/>
      </w:numPr>
      <w:tabs>
        <w:tab w:val="clear" w:pos="851"/>
        <w:tab w:val="clear" w:pos="1843"/>
        <w:tab w:val="clear" w:pos="3119"/>
        <w:tab w:val="clear" w:pos="4253"/>
        <w:tab w:val="num" w:pos="360"/>
      </w:tabs>
      <w:ind w:left="1080" w:hanging="850"/>
    </w:pPr>
  </w:style>
  <w:style w:type="paragraph" w:customStyle="1" w:styleId="iDefinition">
    <w:name w:val="(i) Definition"/>
    <w:basedOn w:val="Body"/>
    <w:qFormat/>
    <w:rsid w:val="0095510A"/>
    <w:pPr>
      <w:numPr>
        <w:ilvl w:val="2"/>
      </w:numPr>
      <w:tabs>
        <w:tab w:val="clear" w:pos="1843"/>
        <w:tab w:val="clear" w:pos="3119"/>
        <w:tab w:val="clear" w:pos="4253"/>
        <w:tab w:val="num" w:pos="360"/>
        <w:tab w:val="num" w:pos="1417"/>
      </w:tabs>
      <w:ind w:left="1800" w:hanging="567"/>
    </w:pPr>
  </w:style>
  <w:style w:type="paragraph" w:customStyle="1" w:styleId="Bodyindent">
    <w:name w:val="Body indent"/>
    <w:basedOn w:val="Body"/>
    <w:link w:val="BodyindentChar"/>
    <w:qFormat/>
    <w:rsid w:val="0095510A"/>
    <w:pPr>
      <w:numPr>
        <w:numId w:val="0"/>
      </w:numPr>
      <w:ind w:left="261" w:hanging="261"/>
    </w:pPr>
    <w:rPr>
      <w:szCs w:val="18"/>
      <w:lang w:eastAsia="zh-CN"/>
    </w:rPr>
  </w:style>
  <w:style w:type="character" w:customStyle="1" w:styleId="BodyindentChar">
    <w:name w:val="Body indent Char"/>
    <w:basedOn w:val="BodyChar"/>
    <w:link w:val="Bodyindent"/>
    <w:rsid w:val="0095510A"/>
    <w:rPr>
      <w:rFonts w:ascii="Verdana" w:hAnsi="Verdana"/>
      <w:szCs w:val="18"/>
      <w:lang w:eastAsia="zh-CN"/>
    </w:rPr>
  </w:style>
  <w:style w:type="character" w:styleId="FollowedHyperlink">
    <w:name w:val="FollowedHyperlink"/>
    <w:basedOn w:val="DefaultParagraphFont"/>
    <w:uiPriority w:val="99"/>
    <w:semiHidden/>
    <w:unhideWhenUsed/>
    <w:rsid w:val="002B5658"/>
    <w:rPr>
      <w:color w:val="954F72" w:themeColor="followedHyperlink"/>
      <w:u w:val="single"/>
    </w:rPr>
  </w:style>
  <w:style w:type="character" w:styleId="UnresolvedMention">
    <w:name w:val="Unresolved Mention"/>
    <w:basedOn w:val="DefaultParagraphFont"/>
    <w:uiPriority w:val="99"/>
    <w:rsid w:val="00DE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4058">
      <w:bodyDiv w:val="1"/>
      <w:marLeft w:val="0"/>
      <w:marRight w:val="0"/>
      <w:marTop w:val="0"/>
      <w:marBottom w:val="0"/>
      <w:divBdr>
        <w:top w:val="none" w:sz="0" w:space="0" w:color="auto"/>
        <w:left w:val="none" w:sz="0" w:space="0" w:color="auto"/>
        <w:bottom w:val="none" w:sz="0" w:space="0" w:color="auto"/>
        <w:right w:val="none" w:sz="0" w:space="0" w:color="auto"/>
      </w:divBdr>
    </w:div>
    <w:div w:id="1549563405">
      <w:bodyDiv w:val="1"/>
      <w:marLeft w:val="0"/>
      <w:marRight w:val="0"/>
      <w:marTop w:val="0"/>
      <w:marBottom w:val="0"/>
      <w:divBdr>
        <w:top w:val="none" w:sz="0" w:space="0" w:color="auto"/>
        <w:left w:val="none" w:sz="0" w:space="0" w:color="auto"/>
        <w:bottom w:val="none" w:sz="0" w:space="0" w:color="auto"/>
        <w:right w:val="none" w:sz="0" w:space="0" w:color="auto"/>
      </w:divBdr>
    </w:div>
    <w:div w:id="1972469401">
      <w:bodyDiv w:val="1"/>
      <w:marLeft w:val="0"/>
      <w:marRight w:val="0"/>
      <w:marTop w:val="0"/>
      <w:marBottom w:val="0"/>
      <w:divBdr>
        <w:top w:val="none" w:sz="0" w:space="0" w:color="auto"/>
        <w:left w:val="none" w:sz="0" w:space="0" w:color="auto"/>
        <w:bottom w:val="none" w:sz="0" w:space="0" w:color="auto"/>
        <w:right w:val="none" w:sz="0" w:space="0" w:color="auto"/>
      </w:divBdr>
    </w:div>
    <w:div w:id="207211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standard-contractual-clauses-scc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4019539/international-data-transfer-addendu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alesfor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zure.microsoft.com/en-gb/overview/trusted-cloud/privacy/" TargetMode="External"/><Relationship Id="rId4" Type="http://schemas.openxmlformats.org/officeDocument/2006/relationships/settings" Target="settings.xml"/><Relationship Id="rId9" Type="http://schemas.openxmlformats.org/officeDocument/2006/relationships/hyperlink" Target="https://aws.amazon.com/contact-us/compliance-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CEF5-22F2-FA46-982C-6CEB077C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7726</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Data Processing Addendum</vt:lpstr>
    </vt:vector>
  </TitlesOfParts>
  <Company/>
  <LinksUpToDate>false</LinksUpToDate>
  <CharactersWithSpaces>51662</CharactersWithSpaces>
  <SharedDoc>false</SharedDoc>
  <HLinks>
    <vt:vector size="24" baseType="variant">
      <vt:variant>
        <vt:i4>2555999</vt:i4>
      </vt:variant>
      <vt:variant>
        <vt:i4>9</vt:i4>
      </vt:variant>
      <vt:variant>
        <vt:i4>0</vt:i4>
      </vt:variant>
      <vt:variant>
        <vt:i4>5</vt:i4>
      </vt:variant>
      <vt:variant>
        <vt:lpwstr>https://ec.europa.eu/info/law/law-topic/data-protection/international-dimension-data-protection/standard-contractual-clauses-scc_en</vt:lpwstr>
      </vt:variant>
      <vt:variant>
        <vt:lpwstr/>
      </vt:variant>
      <vt:variant>
        <vt:i4>6422640</vt:i4>
      </vt:variant>
      <vt:variant>
        <vt:i4>6</vt:i4>
      </vt:variant>
      <vt:variant>
        <vt:i4>0</vt:i4>
      </vt:variant>
      <vt:variant>
        <vt:i4>5</vt:i4>
      </vt:variant>
      <vt:variant>
        <vt:lpwstr>mailto:</vt:lpwstr>
      </vt:variant>
      <vt:variant>
        <vt:lpwstr/>
      </vt:variant>
      <vt:variant>
        <vt:i4>3604525</vt:i4>
      </vt:variant>
      <vt:variant>
        <vt:i4>3</vt:i4>
      </vt:variant>
      <vt:variant>
        <vt:i4>0</vt:i4>
      </vt:variant>
      <vt:variant>
        <vt:i4>5</vt:i4>
      </vt:variant>
      <vt:variant>
        <vt:lpwstr>http://www.dnanexus.com/privacy</vt:lpwstr>
      </vt:variant>
      <vt:variant>
        <vt:lpwstr/>
      </vt:variant>
      <vt:variant>
        <vt:i4>2555999</vt:i4>
      </vt:variant>
      <vt:variant>
        <vt:i4>0</vt:i4>
      </vt:variant>
      <vt:variant>
        <vt:i4>0</vt:i4>
      </vt:variant>
      <vt:variant>
        <vt:i4>5</vt:i4>
      </vt:variant>
      <vt:variant>
        <vt:lpwstr>https://ec.europa.eu/info/law/law-topic/data-protection/international-dimension-data-protection/standard-contractual-clauses-scc_en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Addendum</dc:title>
  <dc:subject/>
  <dc:creator>Loren Buhle</dc:creator>
  <cp:keywords/>
  <dc:description/>
  <cp:lastModifiedBy>Loren Buhle</cp:lastModifiedBy>
  <cp:revision>2</cp:revision>
  <cp:lastPrinted>2022-03-19T15:37:00Z</cp:lastPrinted>
  <dcterms:created xsi:type="dcterms:W3CDTF">2023-02-08T15:52:00Z</dcterms:created>
  <dcterms:modified xsi:type="dcterms:W3CDTF">2023-02-08T15:52:00Z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